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29.055016pt;width:595.3pt;height:33.35pt;mso-position-horizontal-relative:page;mso-position-vertical-relative:page;z-index:-251947008" coordorigin="0,581" coordsize="11906,667">
            <v:rect style="position:absolute;left:0;top:581;width:11906;height:667" filled="true" fillcolor="#d51920" stroked="false">
              <v:fill type="solid"/>
            </v:rect>
            <v:line style="position:absolute" from="0,581" to="0,1247" stroked="true" strokeweight="0pt" strokecolor="#d51920">
              <v:stroke dashstyle="solid"/>
            </v:line>
            <w10:wrap type="none"/>
          </v:group>
        </w:pict>
      </w: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spacing w:line="240" w:lineRule="auto"/>
        <w:ind w:left="1970" w:right="0" w:firstLine="0"/>
        <w:rPr>
          <w:rFonts w:ascii="Times New Roman"/>
          <w:sz w:val="20"/>
        </w:rPr>
      </w:pPr>
      <w:r>
        <w:rPr>
          <w:rFonts w:ascii="Times New Roman"/>
          <w:position w:val="45"/>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5"/>
          <w:sz w:val="20"/>
        </w:rPr>
      </w:r>
      <w:r>
        <w:rPr>
          <w:rFonts w:ascii="Times New Roman"/>
          <w:spacing w:val="-10"/>
          <w:position w:val="45"/>
          <w:sz w:val="20"/>
        </w:rPr>
        <w:t> </w:t>
      </w:r>
      <w:r>
        <w:rPr>
          <w:rFonts w:ascii="Times New Roman"/>
          <w:spacing w:val="-10"/>
          <w:sz w:val="20"/>
        </w:rPr>
        <w:pict>
          <v:group style="width:220pt;height:71.5pt;mso-position-horizontal-relative:char;mso-position-vertical-relative:line" coordorigin="0,0" coordsize="4400,1430">
            <v:line style="position:absolute" from="268,972" to="4356,972" stroked="true" strokeweight="2pt" strokecolor="#939598">
              <v:stroke dashstyle="solid"/>
            </v:line>
            <v:line style="position:absolute" from="188,11" to="188,1430" stroked="true" strokeweight="4.709pt" strokecolor="#d71920">
              <v:stroke dashstyle="solid"/>
            </v:line>
            <v:shape style="position:absolute;left:314;top:460;width:344;height:325" type="#_x0000_t75" stroked="false">
              <v:imagedata r:id="rId7" o:title=""/>
            </v:shape>
            <v:line style="position:absolute" from="6,888" to="819,888" stroked="true" strokeweight="3.914pt" strokecolor="#d71920">
              <v:stroke dashstyle="solid"/>
            </v:line>
            <v:rect style="position:absolute;left:6;top:849;width:813;height:78" filled="false" stroked="true" strokeweight=".613pt" strokecolor="#ffffff">
              <v:stroke dashstyle="solid"/>
            </v:rect>
            <v:shape style="position:absolute;left:726;top:17;width:867;height:1079" coordorigin="726,17" coordsize="867,1079" path="m966,17l726,17,727,613,731,705,745,789,767,863,798,926,838,979,885,1022,940,1055,1003,1078,1073,1091,1150,1096,1230,1091,1302,1077,1368,1053,1426,1020,1475,977,1517,924,1527,904,1158,904,1091,893,1038,859,999,804,974,726,966,627,966,17xm1593,17l1353,17,1353,627,1345,728,1321,806,1281,861,1227,893,1158,904,1527,90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Times New Roman"/>
                        <w:color w:val="D71920"/>
                        <w:w w:val="168"/>
                        <w:sz w:val="37"/>
                        <w:u w:val="thick" w:color="D71920"/>
                      </w:rPr>
                      <w:t> </w:t>
                    </w:r>
                    <w:r>
                      <w:rPr>
                        <w:rFonts w:ascii="Calibri"/>
                        <w:color w:val="D71920"/>
                        <w:spacing w:val="-3"/>
                        <w:w w:val="170"/>
                        <w:sz w:val="37"/>
                        <w:u w:val="thick" w:color="D71920"/>
                      </w:rPr>
                      <w:t>INVESTIGA</w:t>
                    </w:r>
                  </w:p>
                </w:txbxContent>
              </v:textbox>
              <w10:wrap type="none"/>
            </v:shape>
          </v:group>
        </w:pict>
      </w:r>
      <w:r>
        <w:rPr>
          <w:rFonts w:ascii="Times New Roman"/>
          <w:spacing w:val="-10"/>
          <w:sz w:val="20"/>
        </w:rPr>
      </w:r>
    </w:p>
    <w:p>
      <w:pPr>
        <w:pStyle w:val="BodyText"/>
        <w:rPr>
          <w:rFonts w:ascii="Times New Roman"/>
          <w:sz w:val="20"/>
        </w:rPr>
      </w:pPr>
    </w:p>
    <w:p>
      <w:pPr>
        <w:pStyle w:val="BodyText"/>
        <w:rPr>
          <w:rFonts w:ascii="Times New Roman"/>
          <w:sz w:val="20"/>
        </w:rPr>
      </w:pPr>
    </w:p>
    <w:p>
      <w:pPr>
        <w:spacing w:before="221"/>
        <w:ind w:left="2128" w:right="2128" w:firstLine="0"/>
        <w:jc w:val="center"/>
        <w:rPr>
          <w:sz w:val="24"/>
        </w:rPr>
      </w:pPr>
      <w:r>
        <w:rPr>
          <w:b/>
          <w:color w:val="D2232A"/>
          <w:sz w:val="24"/>
        </w:rPr>
        <w:t>ARTÍCULO CIENTÍFICO/ </w:t>
      </w:r>
      <w:r>
        <w:rPr>
          <w:color w:val="231F20"/>
          <w:sz w:val="24"/>
        </w:rPr>
        <w:t>SCIENTIFIC PAPER</w:t>
      </w:r>
    </w:p>
    <w:p>
      <w:pPr>
        <w:pStyle w:val="BodyText"/>
        <w:spacing w:before="1"/>
        <w:rPr>
          <w:sz w:val="26"/>
        </w:rPr>
      </w:pPr>
    </w:p>
    <w:p>
      <w:pPr>
        <w:pStyle w:val="BodyText"/>
        <w:spacing w:line="249" w:lineRule="auto"/>
        <w:ind w:left="2128" w:right="2127"/>
        <w:jc w:val="center"/>
      </w:pPr>
      <w:r>
        <w:rPr>
          <w:color w:val="231F20"/>
        </w:rPr>
        <w:t>Volumen 6. Número 1. Enero – Junio 2019 ISSN 1390-910X</w:t>
      </w:r>
    </w:p>
    <w:p>
      <w:pPr>
        <w:pStyle w:val="BodyText"/>
        <w:spacing w:before="4"/>
      </w:pPr>
    </w:p>
    <w:p>
      <w:pPr>
        <w:spacing w:before="0"/>
        <w:ind w:left="183" w:right="183" w:firstLine="0"/>
        <w:jc w:val="center"/>
        <w:rPr>
          <w:sz w:val="20"/>
        </w:rPr>
      </w:pPr>
      <w:r>
        <w:rPr>
          <w:color w:val="231F20"/>
          <w:sz w:val="20"/>
        </w:rPr>
        <w:t>Fecha de recepción: 01/02/2019 - Fecha de aprobación 15/03/2019</w:t>
      </w:r>
    </w:p>
    <w:p>
      <w:pPr>
        <w:pStyle w:val="BodyText"/>
        <w:spacing w:before="2"/>
        <w:rPr>
          <w:sz w:val="28"/>
        </w:rPr>
      </w:pPr>
    </w:p>
    <w:p>
      <w:pPr>
        <w:spacing w:line="249" w:lineRule="auto" w:before="0"/>
        <w:ind w:left="184" w:right="183" w:firstLine="0"/>
        <w:jc w:val="center"/>
        <w:rPr>
          <w:b/>
          <w:sz w:val="30"/>
        </w:rPr>
      </w:pPr>
      <w:r>
        <w:rPr>
          <w:b/>
          <w:color w:val="D2232A"/>
          <w:sz w:val="30"/>
        </w:rPr>
        <w:t>TAMIZAJE CONDUCTUAL EN ADOLESCENTES TEMPRANOS, IBARRA 2017</w:t>
      </w:r>
    </w:p>
    <w:p>
      <w:pPr>
        <w:pStyle w:val="BodyText"/>
        <w:spacing w:before="275"/>
        <w:ind w:left="2128" w:right="2128"/>
        <w:jc w:val="center"/>
      </w:pPr>
      <w:r>
        <w:rPr>
          <w:color w:val="231F20"/>
        </w:rPr>
        <w:t>(Teenage behavior screening, Ibarra 2017)</w:t>
      </w:r>
    </w:p>
    <w:p>
      <w:pPr>
        <w:pStyle w:val="BodyText"/>
        <w:spacing w:before="1"/>
        <w:rPr>
          <w:sz w:val="26"/>
        </w:rPr>
      </w:pPr>
    </w:p>
    <w:p>
      <w:pPr>
        <w:pStyle w:val="Heading3"/>
        <w:spacing w:before="0"/>
      </w:pPr>
      <w:r>
        <w:rPr>
          <w:color w:val="231F20"/>
          <w:position w:val="8"/>
          <w:sz w:val="14"/>
        </w:rPr>
        <w:t>1</w:t>
      </w:r>
      <w:r>
        <w:rPr>
          <w:color w:val="231F20"/>
        </w:rPr>
        <w:t>Báez-Morales</w:t>
      </w:r>
      <w:r>
        <w:rPr>
          <w:color w:val="231F20"/>
          <w:spacing w:val="-15"/>
        </w:rPr>
        <w:t> </w:t>
      </w:r>
      <w:r>
        <w:rPr>
          <w:color w:val="231F20"/>
        </w:rPr>
        <w:t>Widmark,</w:t>
      </w:r>
      <w:r>
        <w:rPr>
          <w:color w:val="231F20"/>
          <w:spacing w:val="-13"/>
        </w:rPr>
        <w:t> </w:t>
      </w:r>
      <w:r>
        <w:rPr>
          <w:color w:val="231F20"/>
        </w:rPr>
        <w:t>Docente-Investigador</w:t>
      </w:r>
      <w:r>
        <w:rPr>
          <w:color w:val="231F20"/>
          <w:spacing w:val="-14"/>
        </w:rPr>
        <w:t> </w:t>
      </w:r>
      <w:r>
        <w:rPr>
          <w:color w:val="231F20"/>
        </w:rPr>
        <w:t>UTN,</w:t>
      </w:r>
      <w:r>
        <w:rPr>
          <w:color w:val="231F20"/>
          <w:spacing w:val="-13"/>
        </w:rPr>
        <w:t> </w:t>
      </w:r>
      <w:r>
        <w:rPr>
          <w:color w:val="231F20"/>
          <w:position w:val="8"/>
          <w:sz w:val="14"/>
        </w:rPr>
        <w:t>2</w:t>
      </w:r>
      <w:r>
        <w:rPr>
          <w:color w:val="231F20"/>
        </w:rPr>
        <w:t>Rojas-Torres</w:t>
      </w:r>
      <w:r>
        <w:rPr>
          <w:color w:val="231F20"/>
          <w:spacing w:val="-20"/>
        </w:rPr>
        <w:t> </w:t>
      </w:r>
      <w:r>
        <w:rPr>
          <w:color w:val="231F20"/>
        </w:rPr>
        <w:t>Arian,</w:t>
      </w:r>
    </w:p>
    <w:p>
      <w:pPr>
        <w:spacing w:before="12"/>
        <w:ind w:left="183" w:right="183" w:firstLine="0"/>
        <w:jc w:val="center"/>
        <w:rPr>
          <w:b/>
          <w:sz w:val="24"/>
        </w:rPr>
      </w:pPr>
      <w:r>
        <w:rPr>
          <w:b/>
          <w:color w:val="231F20"/>
          <w:position w:val="8"/>
          <w:sz w:val="14"/>
        </w:rPr>
        <w:t>2</w:t>
      </w:r>
      <w:r>
        <w:rPr>
          <w:b/>
          <w:color w:val="231F20"/>
          <w:sz w:val="24"/>
        </w:rPr>
        <w:t>Navarrete-Enríquez</w:t>
      </w:r>
      <w:r>
        <w:rPr>
          <w:b/>
          <w:color w:val="231F20"/>
          <w:spacing w:val="-12"/>
          <w:sz w:val="24"/>
        </w:rPr>
        <w:t> </w:t>
      </w:r>
      <w:r>
        <w:rPr>
          <w:b/>
          <w:color w:val="231F20"/>
          <w:sz w:val="24"/>
        </w:rPr>
        <w:t>Roxanne,</w:t>
      </w:r>
      <w:r>
        <w:rPr>
          <w:b/>
          <w:color w:val="231F20"/>
          <w:spacing w:val="-9"/>
          <w:sz w:val="24"/>
        </w:rPr>
        <w:t> </w:t>
      </w:r>
      <w:r>
        <w:rPr>
          <w:b/>
          <w:color w:val="231F20"/>
          <w:position w:val="8"/>
          <w:sz w:val="14"/>
        </w:rPr>
        <w:t>2</w:t>
      </w:r>
      <w:r>
        <w:rPr>
          <w:b/>
          <w:color w:val="231F20"/>
          <w:sz w:val="24"/>
        </w:rPr>
        <w:t>Palacios-Narváez</w:t>
      </w:r>
      <w:r>
        <w:rPr>
          <w:b/>
          <w:color w:val="231F20"/>
          <w:spacing w:val="-10"/>
          <w:sz w:val="24"/>
        </w:rPr>
        <w:t> </w:t>
      </w:r>
      <w:r>
        <w:rPr>
          <w:b/>
          <w:color w:val="231F20"/>
          <w:sz w:val="24"/>
        </w:rPr>
        <w:t>Nikolás,</w:t>
      </w:r>
      <w:r>
        <w:rPr>
          <w:b/>
          <w:color w:val="231F20"/>
          <w:spacing w:val="-11"/>
          <w:sz w:val="24"/>
        </w:rPr>
        <w:t> </w:t>
      </w:r>
      <w:r>
        <w:rPr>
          <w:b/>
          <w:color w:val="231F20"/>
          <w:sz w:val="24"/>
        </w:rPr>
        <w:t>y</w:t>
      </w:r>
      <w:r>
        <w:rPr>
          <w:b/>
          <w:color w:val="231F20"/>
          <w:spacing w:val="-10"/>
          <w:sz w:val="24"/>
        </w:rPr>
        <w:t> </w:t>
      </w:r>
      <w:r>
        <w:rPr>
          <w:b/>
          <w:color w:val="231F20"/>
          <w:position w:val="8"/>
          <w:sz w:val="14"/>
        </w:rPr>
        <w:t>2</w:t>
      </w:r>
      <w:r>
        <w:rPr>
          <w:b/>
          <w:color w:val="231F20"/>
          <w:sz w:val="24"/>
        </w:rPr>
        <w:t>Mafla-Vallejo</w:t>
      </w:r>
    </w:p>
    <w:p>
      <w:pPr>
        <w:spacing w:before="12"/>
        <w:ind w:left="2128" w:right="2128" w:firstLine="0"/>
        <w:jc w:val="center"/>
        <w:rPr>
          <w:b/>
          <w:sz w:val="24"/>
        </w:rPr>
      </w:pPr>
      <w:r>
        <w:rPr>
          <w:b/>
          <w:color w:val="231F20"/>
          <w:sz w:val="24"/>
        </w:rPr>
        <w:t>Miguel, Estudiantes de Enfermería UTN</w:t>
      </w:r>
    </w:p>
    <w:p>
      <w:pPr>
        <w:pStyle w:val="BodyText"/>
        <w:rPr>
          <w:b/>
          <w:sz w:val="26"/>
        </w:rPr>
      </w:pPr>
    </w:p>
    <w:p>
      <w:pPr>
        <w:pStyle w:val="BodyText"/>
        <w:spacing w:before="11"/>
        <w:rPr>
          <w:b/>
          <w:sz w:val="23"/>
        </w:rPr>
      </w:pPr>
    </w:p>
    <w:p>
      <w:pPr>
        <w:spacing w:line="242" w:lineRule="auto" w:before="0"/>
        <w:ind w:left="184" w:right="183" w:firstLine="0"/>
        <w:jc w:val="center"/>
        <w:rPr>
          <w:i/>
          <w:sz w:val="22"/>
        </w:rPr>
      </w:pPr>
      <w:r>
        <w:rPr>
          <w:i/>
          <w:color w:val="231F20"/>
          <w:position w:val="7"/>
          <w:sz w:val="13"/>
        </w:rPr>
        <w:t>1</w:t>
      </w:r>
      <w:r>
        <w:rPr>
          <w:i/>
          <w:color w:val="231F20"/>
          <w:sz w:val="22"/>
        </w:rPr>
        <w:t>Universidad Técnica del Norte – UTN, Facultad Ciencias de la Salud, Ibarra, Código Postal </w:t>
      </w:r>
      <w:r>
        <w:rPr>
          <w:i/>
          <w:color w:val="231F20"/>
          <w:sz w:val="22"/>
        </w:rPr>
        <w:t>100105, Ecuador</w:t>
      </w:r>
    </w:p>
    <w:p>
      <w:pPr>
        <w:pStyle w:val="BodyText"/>
        <w:spacing w:before="4"/>
        <w:rPr>
          <w:i/>
          <w:sz w:val="22"/>
        </w:rPr>
      </w:pPr>
    </w:p>
    <w:p>
      <w:pPr>
        <w:spacing w:line="242" w:lineRule="auto" w:before="0"/>
        <w:ind w:left="3105" w:right="3104" w:firstLine="0"/>
        <w:jc w:val="center"/>
        <w:rPr>
          <w:i/>
          <w:sz w:val="22"/>
        </w:rPr>
      </w:pPr>
      <w:hyperlink r:id="rId8">
        <w:r>
          <w:rPr>
            <w:i/>
            <w:color w:val="231F20"/>
            <w:sz w:val="22"/>
          </w:rPr>
          <w:t>webaez@utn.edu.ec</w:t>
        </w:r>
      </w:hyperlink>
      <w:r>
        <w:rPr>
          <w:i/>
          <w:color w:val="231F20"/>
          <w:sz w:val="22"/>
        </w:rPr>
        <w:t> </w:t>
      </w:r>
      <w:r>
        <w:rPr>
          <w:i/>
          <w:color w:val="231F20"/>
          <w:sz w:val="22"/>
        </w:rPr>
        <w:t>orcid.org/0000-0003-3996-0925</w:t>
      </w:r>
    </w:p>
    <w:p>
      <w:pPr>
        <w:pStyle w:val="BodyText"/>
        <w:spacing w:before="4"/>
        <w:rPr>
          <w:i/>
          <w:sz w:val="22"/>
        </w:rPr>
      </w:pPr>
    </w:p>
    <w:p>
      <w:pPr>
        <w:spacing w:line="242" w:lineRule="auto" w:before="0"/>
        <w:ind w:left="184" w:right="183" w:firstLine="0"/>
        <w:jc w:val="center"/>
        <w:rPr>
          <w:i/>
          <w:sz w:val="22"/>
        </w:rPr>
      </w:pPr>
      <w:r>
        <w:rPr>
          <w:i/>
          <w:color w:val="231F20"/>
          <w:position w:val="7"/>
          <w:sz w:val="13"/>
        </w:rPr>
        <w:t>2</w:t>
      </w:r>
      <w:r>
        <w:rPr>
          <w:i/>
          <w:color w:val="231F20"/>
          <w:sz w:val="22"/>
        </w:rPr>
        <w:t>Universidad Técnica del Norte – UTN, Carrera de Enfermería, Ibarra, Código Postal </w:t>
      </w:r>
      <w:r>
        <w:rPr>
          <w:i/>
          <w:color w:val="231F20"/>
          <w:sz w:val="22"/>
        </w:rPr>
        <w:t>100105, Ecuador</w:t>
      </w:r>
    </w:p>
    <w:p>
      <w:pPr>
        <w:pStyle w:val="BodyText"/>
        <w:spacing w:before="4"/>
        <w:rPr>
          <w:i/>
          <w:sz w:val="22"/>
        </w:rPr>
      </w:pPr>
    </w:p>
    <w:p>
      <w:pPr>
        <w:spacing w:line="242" w:lineRule="auto" w:before="0"/>
        <w:ind w:left="3434" w:right="3432" w:hanging="1"/>
        <w:jc w:val="center"/>
        <w:rPr>
          <w:i/>
          <w:sz w:val="22"/>
        </w:rPr>
      </w:pPr>
      <w:hyperlink r:id="rId9">
        <w:r>
          <w:rPr>
            <w:i/>
            <w:color w:val="231F20"/>
            <w:sz w:val="22"/>
          </w:rPr>
          <w:t>afrojas@utn.edu.ec</w:t>
        </w:r>
      </w:hyperlink>
      <w:r>
        <w:rPr>
          <w:i/>
          <w:color w:val="231F20"/>
          <w:sz w:val="22"/>
        </w:rPr>
        <w:t> </w:t>
      </w:r>
      <w:hyperlink r:id="rId10">
        <w:r>
          <w:rPr>
            <w:i/>
            <w:color w:val="231F20"/>
            <w:sz w:val="22"/>
          </w:rPr>
          <w:t>rmnavarrete@utn.edu.ec</w:t>
        </w:r>
      </w:hyperlink>
      <w:r>
        <w:rPr>
          <w:i/>
          <w:color w:val="231F20"/>
          <w:sz w:val="22"/>
        </w:rPr>
        <w:t> </w:t>
      </w:r>
      <w:hyperlink r:id="rId11">
        <w:r>
          <w:rPr>
            <w:i/>
            <w:color w:val="231F20"/>
            <w:sz w:val="22"/>
          </w:rPr>
          <w:t>njpalacios@utn.edu.ec</w:t>
        </w:r>
      </w:hyperlink>
      <w:r>
        <w:rPr>
          <w:i/>
          <w:color w:val="231F20"/>
          <w:sz w:val="22"/>
        </w:rPr>
        <w:t> </w:t>
      </w:r>
      <w:hyperlink r:id="rId12">
        <w:r>
          <w:rPr>
            <w:i/>
            <w:color w:val="231F20"/>
            <w:sz w:val="22"/>
          </w:rPr>
          <w:t>mdmafla@utn.edu.ec</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9"/>
        </w:rPr>
      </w:pPr>
    </w:p>
    <w:p>
      <w:pPr>
        <w:spacing w:before="99"/>
        <w:ind w:left="5257"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300" w:right="1300"/>
          <w:pgNumType w:start="39"/>
        </w:sectPr>
      </w:pPr>
    </w:p>
    <w:p>
      <w:pPr>
        <w:pStyle w:val="BodyText"/>
        <w:spacing w:before="6"/>
        <w:rPr>
          <w:sz w:val="16"/>
        </w:rPr>
      </w:pPr>
    </w:p>
    <w:p>
      <w:pPr>
        <w:pStyle w:val="Heading1"/>
        <w:spacing w:before="91"/>
        <w:ind w:left="7788"/>
      </w:pPr>
      <w:r>
        <w:rPr/>
        <w:pict>
          <v:group style="position:absolute;margin-left:307.242004pt;margin-top:22.135107pt;width:217.2pt;height:7.9pt;mso-position-horizontal-relative:page;mso-position-vertical-relative:paragraph;z-index:-251655168;mso-wrap-distance-left:0;mso-wrap-distance-right:0" coordorigin="6145,443" coordsize="4344,158">
            <v:line style="position:absolute" from="6145,483" to="10488,483" stroked="true" strokeweight="3.989pt" strokecolor="#d2232a">
              <v:stroke dashstyle="solid"/>
            </v:line>
            <v:line style="position:absolute" from="6145,580" to="10488,580" stroked="true" strokeweight="2.003pt" strokecolor="#6d6e71">
              <v:stroke dashstyle="solid"/>
            </v:line>
            <w10:wrap type="topAndBottom"/>
          </v:group>
        </w:pict>
      </w:r>
      <w:r>
        <w:rPr>
          <w:color w:val="D2232A"/>
        </w:rPr>
        <w:t>RESUMEN</w:t>
      </w:r>
    </w:p>
    <w:p>
      <w:pPr>
        <w:pStyle w:val="BodyText"/>
        <w:spacing w:line="249" w:lineRule="auto" w:before="74"/>
        <w:ind w:left="117" w:right="113"/>
        <w:jc w:val="both"/>
      </w:pPr>
      <w:r>
        <w:rPr>
          <w:color w:val="231F20"/>
        </w:rPr>
        <w:t>Se estableció como objetivo principal detectar potenciales trastornos conductuales emocionales, alimentarios y de consumo de alcohol en un grupo de adolescentes tempranos en la ciudad de Ibarra; a través de la caracterización de las condiciones sociodemográficas y aplicación de los instrumentos de tamizaje conductual en adolescentes recomendados por el Ministerio de Salud Pública del Ecuador. Se realizó un estudio cuantitativo, no experimental, descriptivo y transversal donde se aplicaron los test de APGAR familiar, screening de alcoholismo, PHQ-2 depresión,   y screening conducta alimentara, a 35 adolescentes tempranos (entre 10 a 14 años de edad) sin ningún tipo de discapacidad y selección a conveniencia. Los datos se analizaron con estadística descriptiva y Excel como </w:t>
      </w:r>
      <w:r>
        <w:rPr>
          <w:color w:val="231F20"/>
          <w:spacing w:val="-3"/>
        </w:rPr>
        <w:t>procesador. </w:t>
      </w:r>
      <w:r>
        <w:rPr>
          <w:color w:val="231F20"/>
        </w:rPr>
        <w:t>Entre los principales resultados se obtuvo como auto identificación étnica en su mayoría mestiza, 86%, heterosexuales en la totalidad, el 5% presentó un APGAR familiar disfuncional grave, el 3% presentaron consumo riesgoso de alcohol, 71% presencia de trastorno en conducta alimentaria y el 43% con ánimo deprimido. Los test utilizados nos alertan sobre potenciales problemas y/o factores de riesgo con una alta sensibilidad, pero baja especificidad, por lo que no son criterios diagnósticos definitivos, pero si una detección temprana de adolescentes en riesgo alto y que ameritan valoración más profunda e intervención respectiva. Los principales trastornos encontrados en los adolescentes tempranos fueron en la conducta alimentaria, estabilidad emocional     y consumo riesgoso de alcohol, indicadores de situaciones de vida que necesitan intervención más profunda e</w:t>
      </w:r>
      <w:r>
        <w:rPr>
          <w:color w:val="231F20"/>
          <w:spacing w:val="-5"/>
        </w:rPr>
        <w:t> </w:t>
      </w:r>
      <w:r>
        <w:rPr>
          <w:color w:val="231F20"/>
        </w:rPr>
        <w:t>inmediata.</w:t>
      </w:r>
    </w:p>
    <w:p>
      <w:pPr>
        <w:pStyle w:val="BodyText"/>
        <w:spacing w:before="10"/>
        <w:rPr>
          <w:sz w:val="26"/>
        </w:rPr>
      </w:pPr>
    </w:p>
    <w:p>
      <w:pPr>
        <w:pStyle w:val="BodyText"/>
        <w:ind w:left="117"/>
        <w:jc w:val="both"/>
      </w:pPr>
      <w:r>
        <w:rPr>
          <w:b/>
          <w:color w:val="D2232A"/>
        </w:rPr>
        <w:t>Palabras clave: </w:t>
      </w:r>
      <w:r>
        <w:rPr>
          <w:color w:val="231F20"/>
        </w:rPr>
        <w:t>Tamizaje, conducta adolescente, factor de riesgo, relación familiar,</w:t>
      </w:r>
    </w:p>
    <w:p>
      <w:pPr>
        <w:pStyle w:val="BodyText"/>
        <w:spacing w:before="12"/>
        <w:ind w:left="117"/>
        <w:jc w:val="both"/>
      </w:pPr>
      <w:r>
        <w:rPr>
          <w:color w:val="231F20"/>
        </w:rPr>
        <w:t>conducta alimentaria.</w:t>
      </w:r>
    </w:p>
    <w:p>
      <w:pPr>
        <w:pStyle w:val="BodyText"/>
        <w:rPr>
          <w:sz w:val="27"/>
        </w:rPr>
      </w:pPr>
    </w:p>
    <w:p>
      <w:pPr>
        <w:pStyle w:val="Heading1"/>
        <w:spacing w:after="19"/>
        <w:ind w:left="7648"/>
      </w:pPr>
      <w:r>
        <w:rPr>
          <w:color w:val="D2232A"/>
        </w:rPr>
        <w:t>ABSTRACT</w:t>
      </w:r>
    </w:p>
    <w:p>
      <w:pPr>
        <w:pStyle w:val="BodyText"/>
        <w:spacing w:line="158" w:lineRule="exact"/>
        <w:ind w:left="4804"/>
        <w:rPr>
          <w:sz w:val="15"/>
        </w:rPr>
      </w:pPr>
      <w:r>
        <w:rPr>
          <w:position w:val="-2"/>
          <w:sz w:val="15"/>
        </w:rPr>
        <w:pict>
          <v:group style="width:217.2pt;height:7.9pt;mso-position-horizontal-relative:char;mso-position-vertical-relative:line" coordorigin="0,0" coordsize="4344,158">
            <v:line style="position:absolute" from="0,40" to="4343,40" stroked="true" strokeweight="3.989pt" strokecolor="#d2232a">
              <v:stroke dashstyle="solid"/>
            </v:line>
            <v:line style="position:absolute" from="0,137" to="4343,137" stroked="true" strokeweight="2.003pt" strokecolor="#6d6e71">
              <v:stroke dashstyle="solid"/>
            </v:line>
          </v:group>
        </w:pict>
      </w:r>
      <w:r>
        <w:rPr>
          <w:position w:val="-2"/>
          <w:sz w:val="15"/>
        </w:rPr>
      </w:r>
    </w:p>
    <w:p>
      <w:pPr>
        <w:pStyle w:val="BodyText"/>
        <w:spacing w:line="249" w:lineRule="auto" w:before="113"/>
        <w:ind w:left="117" w:right="114"/>
        <w:jc w:val="both"/>
      </w:pPr>
      <w:r>
        <w:rPr>
          <w:color w:val="231F20"/>
          <w:spacing w:val="-14"/>
        </w:rPr>
        <w:t>To </w:t>
      </w:r>
      <w:r>
        <w:rPr>
          <w:color w:val="231F20"/>
        </w:rPr>
        <w:t>detect potential behavioral disorders at emotional area, feeding habits and alcohol consumption in a group of early adolescents in the city of Ibarra, was the objective, through the characterization of the sociodemographic conditions and by applying of behavioral screening instruments, recommended by the Ministry of Public Health.     A quantitative, non-experimental, descriptive and cross-sectional study was carried out where the APGAR family tests, alcoholism screening, PHQ-2 depression, and feeding behavior screening were applied to 35 early adolescents (between 10 to 14 years of age) without any type of </w:t>
      </w:r>
      <w:r>
        <w:rPr>
          <w:color w:val="231F20"/>
          <w:spacing w:val="-3"/>
        </w:rPr>
        <w:t>disability, </w:t>
      </w:r>
      <w:r>
        <w:rPr>
          <w:color w:val="231F20"/>
        </w:rPr>
        <w:t>arbitrarily selected in the city of Ibarra; descriptive statistics and Excel as data </w:t>
      </w:r>
      <w:r>
        <w:rPr>
          <w:color w:val="231F20"/>
          <w:spacing w:val="-3"/>
        </w:rPr>
        <w:t>processor,  </w:t>
      </w:r>
      <w:r>
        <w:rPr>
          <w:color w:val="231F20"/>
        </w:rPr>
        <w:t>were used to analyze results.   The ethnic identification was mostly mestizo 86%, heterosexual in the totality, 5% presented a severe dysfunctional family APGAR, 3% had risky alcohol consumption, 71% presence of disorder in feeding behavior and 43% with depressed mood. The tests used alert us to potential problems and / or risk factors with a high sensitivity, but low specificity, which is why they are not definitive diagnostic criteria, but an early detection of high risk adolescents that warrants deeper assessment and intervention. The main disorders found in early adolescents were in feeding </w:t>
      </w:r>
      <w:r>
        <w:rPr>
          <w:color w:val="231F20"/>
          <w:spacing w:val="-3"/>
        </w:rPr>
        <w:t>behavior, </w:t>
      </w:r>
      <w:r>
        <w:rPr>
          <w:color w:val="231F20"/>
        </w:rPr>
        <w:t>emotional stability and risky consumption of alcohol, indicators of life situations that need more immediate and deeper</w:t>
      </w:r>
      <w:r>
        <w:rPr>
          <w:color w:val="231F20"/>
          <w:spacing w:val="-4"/>
        </w:rPr>
        <w:t> </w:t>
      </w:r>
      <w:r>
        <w:rPr>
          <w:color w:val="231F20"/>
        </w:rPr>
        <w:t>intervention.</w:t>
      </w:r>
    </w:p>
    <w:p>
      <w:pPr>
        <w:spacing w:after="0" w:line="249" w:lineRule="auto"/>
        <w:jc w:val="both"/>
        <w:sectPr>
          <w:headerReference w:type="default" r:id="rId13"/>
          <w:footerReference w:type="default" r:id="rId14"/>
          <w:pgSz w:w="11910" w:h="16840"/>
          <w:pgMar w:header="581" w:footer="1333" w:top="1240" w:bottom="1520" w:left="1300" w:right="1300"/>
          <w:pgNumType w:start="40"/>
        </w:sectPr>
      </w:pPr>
    </w:p>
    <w:p>
      <w:pPr>
        <w:pStyle w:val="BodyText"/>
        <w:spacing w:before="8"/>
        <w:rPr>
          <w:sz w:val="19"/>
        </w:rPr>
      </w:pPr>
    </w:p>
    <w:p>
      <w:pPr>
        <w:pStyle w:val="BodyText"/>
        <w:spacing w:before="92"/>
        <w:ind w:left="117"/>
        <w:jc w:val="both"/>
      </w:pPr>
      <w:r>
        <w:rPr>
          <w:b/>
          <w:color w:val="D2232A"/>
        </w:rPr>
        <w:t>Keywords:</w:t>
      </w:r>
      <w:r>
        <w:rPr>
          <w:b/>
          <w:color w:val="D2232A"/>
          <w:spacing w:val="-30"/>
        </w:rPr>
        <w:t> </w:t>
      </w:r>
      <w:r>
        <w:rPr>
          <w:color w:val="231F20"/>
        </w:rPr>
        <w:t>Screening,</w:t>
      </w:r>
      <w:r>
        <w:rPr>
          <w:color w:val="231F20"/>
          <w:spacing w:val="-30"/>
        </w:rPr>
        <w:t> </w:t>
      </w:r>
      <w:r>
        <w:rPr>
          <w:color w:val="231F20"/>
        </w:rPr>
        <w:t>teenage</w:t>
      </w:r>
      <w:r>
        <w:rPr>
          <w:color w:val="231F20"/>
          <w:spacing w:val="-29"/>
        </w:rPr>
        <w:t> </w:t>
      </w:r>
      <w:r>
        <w:rPr>
          <w:color w:val="231F20"/>
          <w:spacing w:val="-3"/>
        </w:rPr>
        <w:t>behavior,</w:t>
      </w:r>
      <w:r>
        <w:rPr>
          <w:color w:val="231F20"/>
          <w:spacing w:val="-30"/>
        </w:rPr>
        <w:t> </w:t>
      </w:r>
      <w:r>
        <w:rPr>
          <w:color w:val="231F20"/>
        </w:rPr>
        <w:t>risk</w:t>
      </w:r>
      <w:r>
        <w:rPr>
          <w:color w:val="231F20"/>
          <w:spacing w:val="-29"/>
        </w:rPr>
        <w:t> </w:t>
      </w:r>
      <w:r>
        <w:rPr>
          <w:color w:val="231F20"/>
        </w:rPr>
        <w:t>factors,</w:t>
      </w:r>
      <w:r>
        <w:rPr>
          <w:color w:val="231F20"/>
          <w:spacing w:val="-30"/>
        </w:rPr>
        <w:t> </w:t>
      </w:r>
      <w:r>
        <w:rPr>
          <w:color w:val="231F20"/>
        </w:rPr>
        <w:t>family</w:t>
      </w:r>
      <w:r>
        <w:rPr>
          <w:color w:val="231F20"/>
          <w:spacing w:val="-29"/>
        </w:rPr>
        <w:t> </w:t>
      </w:r>
      <w:r>
        <w:rPr>
          <w:color w:val="231F20"/>
        </w:rPr>
        <w:t>relations,</w:t>
      </w:r>
      <w:r>
        <w:rPr>
          <w:color w:val="231F20"/>
          <w:spacing w:val="-30"/>
        </w:rPr>
        <w:t> </w:t>
      </w:r>
      <w:r>
        <w:rPr>
          <w:color w:val="231F20"/>
        </w:rPr>
        <w:t>feeding</w:t>
      </w:r>
      <w:r>
        <w:rPr>
          <w:color w:val="231F20"/>
          <w:spacing w:val="-29"/>
        </w:rPr>
        <w:t> </w:t>
      </w:r>
      <w:r>
        <w:rPr>
          <w:color w:val="231F20"/>
          <w:spacing w:val="-3"/>
        </w:rPr>
        <w:t>behavior.</w:t>
      </w:r>
    </w:p>
    <w:p>
      <w:pPr>
        <w:pStyle w:val="BodyText"/>
        <w:spacing w:before="2"/>
        <w:rPr>
          <w:sz w:val="31"/>
        </w:rPr>
      </w:pPr>
    </w:p>
    <w:p>
      <w:pPr>
        <w:pStyle w:val="Heading1"/>
        <w:ind w:right="114"/>
        <w:jc w:val="right"/>
      </w:pPr>
      <w:r>
        <w:rPr>
          <w:color w:val="D2232A"/>
        </w:rPr>
        <w:t>INTRODUCCIÓN</w:t>
      </w:r>
    </w:p>
    <w:p>
      <w:pPr>
        <w:pStyle w:val="BodyText"/>
        <w:spacing w:before="4"/>
        <w:rPr>
          <w:b/>
          <w:sz w:val="25"/>
        </w:rPr>
      </w:pPr>
    </w:p>
    <w:p>
      <w:pPr>
        <w:pStyle w:val="BodyText"/>
        <w:spacing w:line="249" w:lineRule="auto"/>
        <w:ind w:left="117" w:right="114" w:firstLine="283"/>
        <w:jc w:val="both"/>
      </w:pPr>
      <w:r>
        <w:rPr>
          <w:color w:val="231F20"/>
        </w:rPr>
        <w:t>La adolescencia está comprendida entre los 10 y 19 años de edad y es el período en que se producen cambios  en  los  ámbitos  biológicos  (crecimiento,  desarrollo de caracteres sexuales secundarios y capacidad de reproducción), psicológicos (desarrollo del pensamiento abstracto) y sociales (búsqueda e integración y pertenencia grupal) (1). Es una etapa en la que se va profundizando la construcción de la identidad y el proyecto de vida, buscando también ser más autónomo y a la vez conformar</w:t>
      </w:r>
      <w:r>
        <w:rPr>
          <w:color w:val="231F20"/>
          <w:spacing w:val="-17"/>
        </w:rPr>
        <w:t> </w:t>
      </w:r>
      <w:r>
        <w:rPr>
          <w:color w:val="231F20"/>
        </w:rPr>
        <w:t>grupos</w:t>
      </w:r>
      <w:r>
        <w:rPr>
          <w:color w:val="231F20"/>
          <w:spacing w:val="-17"/>
        </w:rPr>
        <w:t> </w:t>
      </w:r>
      <w:r>
        <w:rPr>
          <w:color w:val="231F20"/>
        </w:rPr>
        <w:t>de</w:t>
      </w:r>
      <w:r>
        <w:rPr>
          <w:color w:val="231F20"/>
          <w:spacing w:val="-17"/>
        </w:rPr>
        <w:t> </w:t>
      </w:r>
      <w:r>
        <w:rPr>
          <w:color w:val="231F20"/>
        </w:rPr>
        <w:t>similares;</w:t>
      </w:r>
      <w:r>
        <w:rPr>
          <w:color w:val="231F20"/>
          <w:spacing w:val="-17"/>
        </w:rPr>
        <w:t> </w:t>
      </w:r>
      <w:r>
        <w:rPr>
          <w:color w:val="231F20"/>
        </w:rPr>
        <w:t>aumentando</w:t>
      </w:r>
      <w:r>
        <w:rPr>
          <w:color w:val="231F20"/>
          <w:spacing w:val="-17"/>
        </w:rPr>
        <w:t> </w:t>
      </w:r>
      <w:r>
        <w:rPr>
          <w:color w:val="231F20"/>
        </w:rPr>
        <w:t>también</w:t>
      </w:r>
      <w:r>
        <w:rPr>
          <w:color w:val="231F20"/>
          <w:spacing w:val="-17"/>
        </w:rPr>
        <w:t> </w:t>
      </w:r>
      <w:r>
        <w:rPr>
          <w:color w:val="231F20"/>
        </w:rPr>
        <w:t>así</w:t>
      </w:r>
      <w:r>
        <w:rPr>
          <w:color w:val="231F20"/>
          <w:spacing w:val="-17"/>
        </w:rPr>
        <w:t> </w:t>
      </w:r>
      <w:r>
        <w:rPr>
          <w:color w:val="231F20"/>
        </w:rPr>
        <w:t>la</w:t>
      </w:r>
      <w:r>
        <w:rPr>
          <w:color w:val="231F20"/>
          <w:spacing w:val="-17"/>
        </w:rPr>
        <w:t> </w:t>
      </w:r>
      <w:r>
        <w:rPr>
          <w:color w:val="231F20"/>
        </w:rPr>
        <w:t>vulnerabilidad</w:t>
      </w:r>
      <w:r>
        <w:rPr>
          <w:color w:val="231F20"/>
          <w:spacing w:val="-17"/>
        </w:rPr>
        <w:t> </w:t>
      </w:r>
      <w:r>
        <w:rPr>
          <w:color w:val="231F20"/>
        </w:rPr>
        <w:t>de</w:t>
      </w:r>
      <w:r>
        <w:rPr>
          <w:color w:val="231F20"/>
          <w:spacing w:val="-17"/>
        </w:rPr>
        <w:t> </w:t>
      </w:r>
      <w:r>
        <w:rPr>
          <w:color w:val="231F20"/>
        </w:rPr>
        <w:t>presentar desórdenes conductuales en esa nueva interpretación de la realidad (2). A igual que en la infancia los patrones de referencia son importantes e influyen fuertemente en  la proyección de intereses personales, construcción del autoconcepto y la búsqueda de la aceptación más que social en general, de sus grupos de interés (3); </w:t>
      </w:r>
      <w:r>
        <w:rPr>
          <w:color w:val="231F20"/>
          <w:spacing w:val="-9"/>
        </w:rPr>
        <w:t>y, </w:t>
      </w:r>
      <w:r>
        <w:rPr>
          <w:color w:val="231F20"/>
        </w:rPr>
        <w:t>el establecimiento</w:t>
      </w:r>
      <w:r>
        <w:rPr>
          <w:color w:val="231F20"/>
          <w:spacing w:val="-9"/>
        </w:rPr>
        <w:t> </w:t>
      </w:r>
      <w:r>
        <w:rPr>
          <w:color w:val="231F20"/>
        </w:rPr>
        <w:t>de</w:t>
      </w:r>
      <w:r>
        <w:rPr>
          <w:color w:val="231F20"/>
          <w:spacing w:val="-8"/>
        </w:rPr>
        <w:t> </w:t>
      </w:r>
      <w:r>
        <w:rPr>
          <w:color w:val="231F20"/>
        </w:rPr>
        <w:t>sus</w:t>
      </w:r>
      <w:r>
        <w:rPr>
          <w:color w:val="231F20"/>
          <w:spacing w:val="-8"/>
        </w:rPr>
        <w:t> </w:t>
      </w:r>
      <w:r>
        <w:rPr>
          <w:color w:val="231F20"/>
        </w:rPr>
        <w:t>estilos</w:t>
      </w:r>
      <w:r>
        <w:rPr>
          <w:color w:val="231F20"/>
          <w:spacing w:val="-8"/>
        </w:rPr>
        <w:t> </w:t>
      </w:r>
      <w:r>
        <w:rPr>
          <w:color w:val="231F20"/>
        </w:rPr>
        <w:t>de</w:t>
      </w:r>
      <w:r>
        <w:rPr>
          <w:color w:val="231F20"/>
          <w:spacing w:val="-8"/>
        </w:rPr>
        <w:t> </w:t>
      </w:r>
      <w:r>
        <w:rPr>
          <w:color w:val="231F20"/>
        </w:rPr>
        <w:t>vida</w:t>
      </w:r>
      <w:r>
        <w:rPr>
          <w:color w:val="231F20"/>
          <w:spacing w:val="-8"/>
        </w:rPr>
        <w:t> </w:t>
      </w:r>
      <w:r>
        <w:rPr>
          <w:color w:val="231F20"/>
        </w:rPr>
        <w:t>que</w:t>
      </w:r>
      <w:r>
        <w:rPr>
          <w:color w:val="231F20"/>
          <w:spacing w:val="-8"/>
        </w:rPr>
        <w:t> </w:t>
      </w:r>
      <w:r>
        <w:rPr>
          <w:color w:val="231F20"/>
        </w:rPr>
        <w:t>desde</w:t>
      </w:r>
      <w:r>
        <w:rPr>
          <w:color w:val="231F20"/>
          <w:spacing w:val="-8"/>
        </w:rPr>
        <w:t> </w:t>
      </w:r>
      <w:r>
        <w:rPr>
          <w:color w:val="231F20"/>
        </w:rPr>
        <w:t>esta</w:t>
      </w:r>
      <w:r>
        <w:rPr>
          <w:color w:val="231F20"/>
          <w:spacing w:val="-8"/>
        </w:rPr>
        <w:t> </w:t>
      </w:r>
      <w:r>
        <w:rPr>
          <w:color w:val="231F20"/>
        </w:rPr>
        <w:t>etapa</w:t>
      </w:r>
      <w:r>
        <w:rPr>
          <w:color w:val="231F20"/>
          <w:spacing w:val="-8"/>
        </w:rPr>
        <w:t> </w:t>
      </w:r>
      <w:r>
        <w:rPr>
          <w:color w:val="231F20"/>
        </w:rPr>
        <w:t>incidirán</w:t>
      </w:r>
      <w:r>
        <w:rPr>
          <w:color w:val="231F20"/>
          <w:spacing w:val="-8"/>
        </w:rPr>
        <w:t> </w:t>
      </w:r>
      <w:r>
        <w:rPr>
          <w:color w:val="231F20"/>
        </w:rPr>
        <w:t>directamente</w:t>
      </w:r>
      <w:r>
        <w:rPr>
          <w:color w:val="231F20"/>
          <w:spacing w:val="-8"/>
        </w:rPr>
        <w:t> </w:t>
      </w:r>
      <w:r>
        <w:rPr>
          <w:color w:val="231F20"/>
        </w:rPr>
        <w:t>en su</w:t>
      </w:r>
      <w:r>
        <w:rPr>
          <w:color w:val="231F20"/>
          <w:spacing w:val="-4"/>
        </w:rPr>
        <w:t> </w:t>
      </w:r>
      <w:r>
        <w:rPr>
          <w:color w:val="231F20"/>
        </w:rPr>
        <w:t>adultez</w:t>
      </w:r>
      <w:r>
        <w:rPr>
          <w:color w:val="231F20"/>
          <w:spacing w:val="-4"/>
        </w:rPr>
        <w:t> </w:t>
      </w:r>
      <w:r>
        <w:rPr>
          <w:color w:val="231F20"/>
        </w:rPr>
        <w:t>(4).</w:t>
      </w:r>
      <w:r>
        <w:rPr>
          <w:color w:val="231F20"/>
          <w:spacing w:val="-3"/>
        </w:rPr>
        <w:t> </w:t>
      </w:r>
      <w:r>
        <w:rPr>
          <w:color w:val="231F20"/>
        </w:rPr>
        <w:t>Conforme</w:t>
      </w:r>
      <w:r>
        <w:rPr>
          <w:color w:val="231F20"/>
          <w:spacing w:val="-4"/>
        </w:rPr>
        <w:t> </w:t>
      </w:r>
      <w:r>
        <w:rPr>
          <w:color w:val="231F20"/>
        </w:rPr>
        <w:t>datos</w:t>
      </w:r>
      <w:r>
        <w:rPr>
          <w:color w:val="231F20"/>
          <w:spacing w:val="-4"/>
        </w:rPr>
        <w:t> </w:t>
      </w:r>
      <w:r>
        <w:rPr>
          <w:color w:val="231F20"/>
        </w:rPr>
        <w:t>del</w:t>
      </w:r>
      <w:r>
        <w:rPr>
          <w:color w:val="231F20"/>
          <w:spacing w:val="-3"/>
        </w:rPr>
        <w:t> </w:t>
      </w:r>
      <w:r>
        <w:rPr>
          <w:color w:val="231F20"/>
        </w:rPr>
        <w:t>Censo</w:t>
      </w:r>
      <w:r>
        <w:rPr>
          <w:color w:val="231F20"/>
          <w:spacing w:val="-4"/>
        </w:rPr>
        <w:t> </w:t>
      </w:r>
      <w:r>
        <w:rPr>
          <w:color w:val="231F20"/>
        </w:rPr>
        <w:t>de</w:t>
      </w:r>
      <w:r>
        <w:rPr>
          <w:color w:val="231F20"/>
          <w:spacing w:val="-3"/>
        </w:rPr>
        <w:t> </w:t>
      </w:r>
      <w:r>
        <w:rPr>
          <w:color w:val="231F20"/>
        </w:rPr>
        <w:t>Población</w:t>
      </w:r>
      <w:r>
        <w:rPr>
          <w:color w:val="231F20"/>
          <w:spacing w:val="-4"/>
        </w:rPr>
        <w:t> </w:t>
      </w:r>
      <w:r>
        <w:rPr>
          <w:color w:val="231F20"/>
        </w:rPr>
        <w:t>y</w:t>
      </w:r>
      <w:r>
        <w:rPr>
          <w:color w:val="231F20"/>
          <w:spacing w:val="-4"/>
        </w:rPr>
        <w:t> </w:t>
      </w:r>
      <w:r>
        <w:rPr>
          <w:color w:val="231F20"/>
        </w:rPr>
        <w:t>Vivienda</w:t>
      </w:r>
      <w:r>
        <w:rPr>
          <w:color w:val="231F20"/>
          <w:spacing w:val="-3"/>
        </w:rPr>
        <w:t> </w:t>
      </w:r>
      <w:r>
        <w:rPr>
          <w:color w:val="231F20"/>
        </w:rPr>
        <w:t>de</w:t>
      </w:r>
      <w:r>
        <w:rPr>
          <w:color w:val="231F20"/>
          <w:spacing w:val="-4"/>
        </w:rPr>
        <w:t> </w:t>
      </w:r>
      <w:r>
        <w:rPr>
          <w:color w:val="231F20"/>
        </w:rPr>
        <w:t>2010</w:t>
      </w:r>
      <w:r>
        <w:rPr>
          <w:color w:val="231F20"/>
          <w:spacing w:val="-4"/>
        </w:rPr>
        <w:t> </w:t>
      </w:r>
      <w:r>
        <w:rPr>
          <w:color w:val="231F20"/>
        </w:rPr>
        <w:t>del</w:t>
      </w:r>
      <w:r>
        <w:rPr>
          <w:color w:val="231F20"/>
          <w:spacing w:val="-3"/>
        </w:rPr>
        <w:t> </w:t>
      </w:r>
      <w:r>
        <w:rPr>
          <w:color w:val="231F20"/>
        </w:rPr>
        <w:t>INEC, la</w:t>
      </w:r>
      <w:r>
        <w:rPr>
          <w:color w:val="231F20"/>
          <w:spacing w:val="8"/>
        </w:rPr>
        <w:t> </w:t>
      </w:r>
      <w:r>
        <w:rPr>
          <w:color w:val="231F20"/>
        </w:rPr>
        <w:t>población</w:t>
      </w:r>
      <w:r>
        <w:rPr>
          <w:color w:val="231F20"/>
          <w:spacing w:val="8"/>
        </w:rPr>
        <w:t> </w:t>
      </w:r>
      <w:r>
        <w:rPr>
          <w:color w:val="231F20"/>
        </w:rPr>
        <w:t>adolescente</w:t>
      </w:r>
      <w:r>
        <w:rPr>
          <w:color w:val="231F20"/>
          <w:spacing w:val="8"/>
        </w:rPr>
        <w:t> </w:t>
      </w:r>
      <w:r>
        <w:rPr>
          <w:color w:val="231F20"/>
        </w:rPr>
        <w:t>en</w:t>
      </w:r>
      <w:r>
        <w:rPr>
          <w:color w:val="231F20"/>
          <w:spacing w:val="8"/>
        </w:rPr>
        <w:t> </w:t>
      </w:r>
      <w:r>
        <w:rPr>
          <w:color w:val="231F20"/>
        </w:rPr>
        <w:t>el</w:t>
      </w:r>
      <w:r>
        <w:rPr>
          <w:color w:val="231F20"/>
          <w:spacing w:val="9"/>
        </w:rPr>
        <w:t> </w:t>
      </w:r>
      <w:r>
        <w:rPr>
          <w:color w:val="231F20"/>
        </w:rPr>
        <w:t>Ecuador</w:t>
      </w:r>
      <w:r>
        <w:rPr>
          <w:color w:val="231F20"/>
          <w:spacing w:val="8"/>
        </w:rPr>
        <w:t> </w:t>
      </w:r>
      <w:r>
        <w:rPr>
          <w:color w:val="231F20"/>
        </w:rPr>
        <w:t>corresponde</w:t>
      </w:r>
      <w:r>
        <w:rPr>
          <w:color w:val="231F20"/>
          <w:spacing w:val="8"/>
        </w:rPr>
        <w:t> </w:t>
      </w:r>
      <w:r>
        <w:rPr>
          <w:color w:val="231F20"/>
        </w:rPr>
        <w:t>al</w:t>
      </w:r>
      <w:r>
        <w:rPr>
          <w:color w:val="231F20"/>
          <w:spacing w:val="8"/>
        </w:rPr>
        <w:t> </w:t>
      </w:r>
      <w:r>
        <w:rPr>
          <w:color w:val="231F20"/>
        </w:rPr>
        <w:t>20,5%</w:t>
      </w:r>
      <w:r>
        <w:rPr>
          <w:color w:val="231F20"/>
          <w:spacing w:val="9"/>
        </w:rPr>
        <w:t> </w:t>
      </w:r>
      <w:r>
        <w:rPr>
          <w:color w:val="231F20"/>
        </w:rPr>
        <w:t>(2</w:t>
      </w:r>
      <w:r>
        <w:rPr>
          <w:color w:val="231F20"/>
          <w:spacing w:val="8"/>
        </w:rPr>
        <w:t> </w:t>
      </w:r>
      <w:r>
        <w:rPr>
          <w:color w:val="231F20"/>
        </w:rPr>
        <w:t>958</w:t>
      </w:r>
      <w:r>
        <w:rPr>
          <w:color w:val="231F20"/>
          <w:spacing w:val="8"/>
        </w:rPr>
        <w:t> </w:t>
      </w:r>
      <w:r>
        <w:rPr>
          <w:color w:val="231F20"/>
        </w:rPr>
        <w:t>879);</w:t>
      </w:r>
      <w:r>
        <w:rPr>
          <w:color w:val="231F20"/>
          <w:spacing w:val="8"/>
        </w:rPr>
        <w:t> </w:t>
      </w:r>
      <w:r>
        <w:rPr>
          <w:color w:val="231F20"/>
        </w:rPr>
        <w:t>el</w:t>
      </w:r>
      <w:r>
        <w:rPr>
          <w:color w:val="231F20"/>
          <w:spacing w:val="9"/>
        </w:rPr>
        <w:t> </w:t>
      </w:r>
      <w:r>
        <w:rPr>
          <w:color w:val="231F20"/>
        </w:rPr>
        <w:t>10,6%</w:t>
      </w:r>
    </w:p>
    <w:p>
      <w:pPr>
        <w:pStyle w:val="BodyText"/>
        <w:spacing w:before="14"/>
        <w:ind w:left="117"/>
        <w:jc w:val="both"/>
      </w:pPr>
      <w:r>
        <w:rPr>
          <w:color w:val="231F20"/>
        </w:rPr>
        <w:t>son</w:t>
      </w:r>
      <w:r>
        <w:rPr>
          <w:color w:val="231F20"/>
          <w:spacing w:val="5"/>
        </w:rPr>
        <w:t> </w:t>
      </w:r>
      <w:r>
        <w:rPr>
          <w:color w:val="231F20"/>
        </w:rPr>
        <w:t>adolescentes</w:t>
      </w:r>
      <w:r>
        <w:rPr>
          <w:color w:val="231F20"/>
          <w:spacing w:val="5"/>
        </w:rPr>
        <w:t> </w:t>
      </w:r>
      <w:r>
        <w:rPr>
          <w:color w:val="231F20"/>
        </w:rPr>
        <w:t>tempranos</w:t>
      </w:r>
      <w:r>
        <w:rPr>
          <w:color w:val="231F20"/>
          <w:spacing w:val="6"/>
        </w:rPr>
        <w:t> </w:t>
      </w:r>
      <w:r>
        <w:rPr>
          <w:color w:val="231F20"/>
        </w:rPr>
        <w:t>de</w:t>
      </w:r>
      <w:r>
        <w:rPr>
          <w:color w:val="231F20"/>
          <w:spacing w:val="5"/>
        </w:rPr>
        <w:t> </w:t>
      </w:r>
      <w:r>
        <w:rPr>
          <w:color w:val="231F20"/>
        </w:rPr>
        <w:t>10</w:t>
      </w:r>
      <w:r>
        <w:rPr>
          <w:color w:val="231F20"/>
          <w:spacing w:val="6"/>
        </w:rPr>
        <w:t> </w:t>
      </w:r>
      <w:r>
        <w:rPr>
          <w:color w:val="231F20"/>
        </w:rPr>
        <w:t>a</w:t>
      </w:r>
      <w:r>
        <w:rPr>
          <w:color w:val="231F20"/>
          <w:spacing w:val="5"/>
        </w:rPr>
        <w:t> </w:t>
      </w:r>
      <w:r>
        <w:rPr>
          <w:color w:val="231F20"/>
        </w:rPr>
        <w:t>14</w:t>
      </w:r>
      <w:r>
        <w:rPr>
          <w:color w:val="231F20"/>
          <w:spacing w:val="5"/>
        </w:rPr>
        <w:t> </w:t>
      </w:r>
      <w:r>
        <w:rPr>
          <w:color w:val="231F20"/>
        </w:rPr>
        <w:t>años</w:t>
      </w:r>
      <w:r>
        <w:rPr>
          <w:color w:val="231F20"/>
          <w:spacing w:val="6"/>
        </w:rPr>
        <w:t> </w:t>
      </w:r>
      <w:r>
        <w:rPr>
          <w:color w:val="231F20"/>
        </w:rPr>
        <w:t>(1</w:t>
      </w:r>
      <w:r>
        <w:rPr>
          <w:color w:val="231F20"/>
          <w:spacing w:val="5"/>
        </w:rPr>
        <w:t> </w:t>
      </w:r>
      <w:r>
        <w:rPr>
          <w:color w:val="231F20"/>
        </w:rPr>
        <w:t>539</w:t>
      </w:r>
      <w:r>
        <w:rPr>
          <w:color w:val="231F20"/>
          <w:spacing w:val="6"/>
        </w:rPr>
        <w:t> </w:t>
      </w:r>
      <w:r>
        <w:rPr>
          <w:color w:val="231F20"/>
        </w:rPr>
        <w:t>342)</w:t>
      </w:r>
      <w:r>
        <w:rPr>
          <w:color w:val="231F20"/>
          <w:spacing w:val="5"/>
        </w:rPr>
        <w:t> </w:t>
      </w:r>
      <w:r>
        <w:rPr>
          <w:color w:val="231F20"/>
          <w:spacing w:val="-9"/>
        </w:rPr>
        <w:t>y,</w:t>
      </w:r>
      <w:r>
        <w:rPr>
          <w:color w:val="231F20"/>
          <w:spacing w:val="5"/>
        </w:rPr>
        <w:t> </w:t>
      </w:r>
      <w:r>
        <w:rPr>
          <w:color w:val="231F20"/>
        </w:rPr>
        <w:t>el</w:t>
      </w:r>
      <w:r>
        <w:rPr>
          <w:color w:val="231F20"/>
          <w:spacing w:val="6"/>
        </w:rPr>
        <w:t> </w:t>
      </w:r>
      <w:r>
        <w:rPr>
          <w:color w:val="231F20"/>
        </w:rPr>
        <w:t>9,8</w:t>
      </w:r>
      <w:r>
        <w:rPr>
          <w:color w:val="231F20"/>
          <w:spacing w:val="5"/>
        </w:rPr>
        <w:t> </w:t>
      </w:r>
      <w:r>
        <w:rPr>
          <w:color w:val="231F20"/>
        </w:rPr>
        <w:t>son</w:t>
      </w:r>
      <w:r>
        <w:rPr>
          <w:color w:val="231F20"/>
          <w:spacing w:val="6"/>
        </w:rPr>
        <w:t> </w:t>
      </w:r>
      <w:r>
        <w:rPr>
          <w:color w:val="231F20"/>
        </w:rPr>
        <w:t>adolescentes</w:t>
      </w:r>
    </w:p>
    <w:p>
      <w:pPr>
        <w:pStyle w:val="BodyText"/>
        <w:spacing w:line="249" w:lineRule="auto" w:before="12"/>
        <w:ind w:left="117" w:right="112"/>
        <w:jc w:val="both"/>
      </w:pPr>
      <w:r>
        <w:rPr>
          <w:color w:val="231F20"/>
        </w:rPr>
        <w:t>tardíos entre 15 a 19 años (1 419 537). El 49% representa al sexo femenino y 51% al masculino;</w:t>
      </w:r>
      <w:r>
        <w:rPr>
          <w:color w:val="231F20"/>
          <w:spacing w:val="-13"/>
        </w:rPr>
        <w:t> </w:t>
      </w:r>
      <w:r>
        <w:rPr>
          <w:color w:val="231F20"/>
        </w:rPr>
        <w:t>el</w:t>
      </w:r>
      <w:r>
        <w:rPr>
          <w:color w:val="231F20"/>
          <w:spacing w:val="-12"/>
        </w:rPr>
        <w:t> </w:t>
      </w:r>
      <w:r>
        <w:rPr>
          <w:color w:val="231F20"/>
        </w:rPr>
        <w:t>60,6%</w:t>
      </w:r>
      <w:r>
        <w:rPr>
          <w:color w:val="231F20"/>
          <w:spacing w:val="-12"/>
        </w:rPr>
        <w:t> </w:t>
      </w:r>
      <w:r>
        <w:rPr>
          <w:color w:val="231F20"/>
        </w:rPr>
        <w:t>viven</w:t>
      </w:r>
      <w:r>
        <w:rPr>
          <w:color w:val="231F20"/>
          <w:spacing w:val="-12"/>
        </w:rPr>
        <w:t> </w:t>
      </w:r>
      <w:r>
        <w:rPr>
          <w:color w:val="231F20"/>
        </w:rPr>
        <w:t>en</w:t>
      </w:r>
      <w:r>
        <w:rPr>
          <w:color w:val="231F20"/>
          <w:spacing w:val="-12"/>
        </w:rPr>
        <w:t> </w:t>
      </w:r>
      <w:r>
        <w:rPr>
          <w:color w:val="231F20"/>
        </w:rPr>
        <w:t>zonas</w:t>
      </w:r>
      <w:r>
        <w:rPr>
          <w:color w:val="231F20"/>
          <w:spacing w:val="-12"/>
        </w:rPr>
        <w:t> </w:t>
      </w:r>
      <w:r>
        <w:rPr>
          <w:color w:val="231F20"/>
        </w:rPr>
        <w:t>urbanas</w:t>
      </w:r>
      <w:r>
        <w:rPr>
          <w:color w:val="231F20"/>
          <w:spacing w:val="-12"/>
        </w:rPr>
        <w:t> </w:t>
      </w:r>
      <w:r>
        <w:rPr>
          <w:color w:val="231F20"/>
        </w:rPr>
        <w:t>y</w:t>
      </w:r>
      <w:r>
        <w:rPr>
          <w:color w:val="231F20"/>
          <w:spacing w:val="-12"/>
        </w:rPr>
        <w:t> </w:t>
      </w:r>
      <w:r>
        <w:rPr>
          <w:color w:val="231F20"/>
        </w:rPr>
        <w:t>el</w:t>
      </w:r>
      <w:r>
        <w:rPr>
          <w:color w:val="231F20"/>
          <w:spacing w:val="-12"/>
        </w:rPr>
        <w:t> </w:t>
      </w:r>
      <w:r>
        <w:rPr>
          <w:color w:val="231F20"/>
        </w:rPr>
        <w:t>39,4%</w:t>
      </w:r>
      <w:r>
        <w:rPr>
          <w:color w:val="231F20"/>
          <w:spacing w:val="-12"/>
        </w:rPr>
        <w:t> </w:t>
      </w:r>
      <w:r>
        <w:rPr>
          <w:color w:val="231F20"/>
        </w:rPr>
        <w:t>en</w:t>
      </w:r>
      <w:r>
        <w:rPr>
          <w:color w:val="231F20"/>
          <w:spacing w:val="-12"/>
        </w:rPr>
        <w:t> </w:t>
      </w:r>
      <w:r>
        <w:rPr>
          <w:color w:val="231F20"/>
        </w:rPr>
        <w:t>rurales</w:t>
      </w:r>
      <w:r>
        <w:rPr>
          <w:color w:val="231F20"/>
          <w:spacing w:val="-13"/>
        </w:rPr>
        <w:t> </w:t>
      </w:r>
      <w:r>
        <w:rPr>
          <w:color w:val="231F20"/>
        </w:rPr>
        <w:t>(5).</w:t>
      </w:r>
      <w:r>
        <w:rPr>
          <w:color w:val="231F20"/>
          <w:spacing w:val="-12"/>
        </w:rPr>
        <w:t> </w:t>
      </w:r>
      <w:r>
        <w:rPr>
          <w:color w:val="231F20"/>
        </w:rPr>
        <w:t>Las</w:t>
      </w:r>
      <w:r>
        <w:rPr>
          <w:color w:val="231F20"/>
          <w:spacing w:val="-12"/>
        </w:rPr>
        <w:t> </w:t>
      </w:r>
      <w:r>
        <w:rPr>
          <w:color w:val="231F20"/>
        </w:rPr>
        <w:t>infecciones de diversos tipos, problemas relacionados con la violencia, accidentes y salud sexual y reproductiva, están en las principales causas de morbilidad en adolescentes tempranos</w:t>
      </w:r>
      <w:r>
        <w:rPr>
          <w:color w:val="231F20"/>
          <w:spacing w:val="-17"/>
        </w:rPr>
        <w:t> </w:t>
      </w:r>
      <w:r>
        <w:rPr>
          <w:color w:val="231F20"/>
        </w:rPr>
        <w:t>de</w:t>
      </w:r>
      <w:r>
        <w:rPr>
          <w:color w:val="231F20"/>
          <w:spacing w:val="-16"/>
        </w:rPr>
        <w:t> </w:t>
      </w:r>
      <w:r>
        <w:rPr>
          <w:color w:val="231F20"/>
        </w:rPr>
        <w:t>10-14</w:t>
      </w:r>
      <w:r>
        <w:rPr>
          <w:color w:val="231F20"/>
          <w:spacing w:val="-17"/>
        </w:rPr>
        <w:t> </w:t>
      </w:r>
      <w:r>
        <w:rPr>
          <w:color w:val="231F20"/>
        </w:rPr>
        <w:t>años;</w:t>
      </w:r>
      <w:r>
        <w:rPr>
          <w:color w:val="231F20"/>
          <w:spacing w:val="-17"/>
        </w:rPr>
        <w:t> </w:t>
      </w:r>
      <w:r>
        <w:rPr>
          <w:color w:val="231F20"/>
        </w:rPr>
        <w:t>y</w:t>
      </w:r>
      <w:r>
        <w:rPr>
          <w:color w:val="231F20"/>
          <w:spacing w:val="-16"/>
        </w:rPr>
        <w:t> </w:t>
      </w:r>
      <w:r>
        <w:rPr>
          <w:color w:val="231F20"/>
        </w:rPr>
        <w:t>las</w:t>
      </w:r>
      <w:r>
        <w:rPr>
          <w:color w:val="231F20"/>
          <w:spacing w:val="-17"/>
        </w:rPr>
        <w:t> </w:t>
      </w:r>
      <w:r>
        <w:rPr>
          <w:color w:val="231F20"/>
        </w:rPr>
        <w:t>muertes</w:t>
      </w:r>
      <w:r>
        <w:rPr>
          <w:color w:val="231F20"/>
          <w:spacing w:val="-16"/>
        </w:rPr>
        <w:t> </w:t>
      </w:r>
      <w:r>
        <w:rPr>
          <w:color w:val="231F20"/>
        </w:rPr>
        <w:t>están</w:t>
      </w:r>
      <w:r>
        <w:rPr>
          <w:color w:val="231F20"/>
          <w:spacing w:val="-17"/>
        </w:rPr>
        <w:t> </w:t>
      </w:r>
      <w:r>
        <w:rPr>
          <w:color w:val="231F20"/>
        </w:rPr>
        <w:t>asociados</w:t>
      </w:r>
      <w:r>
        <w:rPr>
          <w:color w:val="231F20"/>
          <w:spacing w:val="-16"/>
        </w:rPr>
        <w:t> </w:t>
      </w:r>
      <w:r>
        <w:rPr>
          <w:color w:val="231F20"/>
        </w:rPr>
        <w:t>mayormente</w:t>
      </w:r>
      <w:r>
        <w:rPr>
          <w:color w:val="231F20"/>
          <w:spacing w:val="-17"/>
        </w:rPr>
        <w:t> </w:t>
      </w:r>
      <w:r>
        <w:rPr>
          <w:color w:val="231F20"/>
        </w:rPr>
        <w:t>a</w:t>
      </w:r>
      <w:r>
        <w:rPr>
          <w:color w:val="231F20"/>
          <w:spacing w:val="-16"/>
        </w:rPr>
        <w:t> </w:t>
      </w:r>
      <w:r>
        <w:rPr>
          <w:color w:val="231F20"/>
        </w:rPr>
        <w:t>accidentes</w:t>
      </w:r>
      <w:r>
        <w:rPr>
          <w:color w:val="231F20"/>
          <w:spacing w:val="-17"/>
        </w:rPr>
        <w:t> </w:t>
      </w:r>
      <w:r>
        <w:rPr>
          <w:color w:val="231F20"/>
        </w:rPr>
        <w:t>de tránsito,</w:t>
      </w:r>
      <w:r>
        <w:rPr>
          <w:color w:val="231F20"/>
          <w:spacing w:val="-13"/>
        </w:rPr>
        <w:t> </w:t>
      </w:r>
      <w:r>
        <w:rPr>
          <w:color w:val="231F20"/>
        </w:rPr>
        <w:t>ahogamiento</w:t>
      </w:r>
      <w:r>
        <w:rPr>
          <w:color w:val="231F20"/>
          <w:spacing w:val="-13"/>
        </w:rPr>
        <w:t> </w:t>
      </w:r>
      <w:r>
        <w:rPr>
          <w:color w:val="231F20"/>
        </w:rPr>
        <w:t>y</w:t>
      </w:r>
      <w:r>
        <w:rPr>
          <w:color w:val="231F20"/>
          <w:spacing w:val="-13"/>
        </w:rPr>
        <w:t> </w:t>
      </w:r>
      <w:r>
        <w:rPr>
          <w:color w:val="231F20"/>
        </w:rPr>
        <w:t>autolisis</w:t>
      </w:r>
      <w:r>
        <w:rPr>
          <w:color w:val="231F20"/>
          <w:spacing w:val="-13"/>
        </w:rPr>
        <w:t> </w:t>
      </w:r>
      <w:r>
        <w:rPr>
          <w:color w:val="231F20"/>
        </w:rPr>
        <w:t>(6).</w:t>
      </w:r>
      <w:r>
        <w:rPr>
          <w:color w:val="231F20"/>
          <w:spacing w:val="-13"/>
        </w:rPr>
        <w:t> </w:t>
      </w:r>
      <w:r>
        <w:rPr>
          <w:color w:val="231F20"/>
        </w:rPr>
        <w:t>El</w:t>
      </w:r>
      <w:r>
        <w:rPr>
          <w:color w:val="231F20"/>
          <w:spacing w:val="-13"/>
        </w:rPr>
        <w:t> </w:t>
      </w:r>
      <w:r>
        <w:rPr>
          <w:color w:val="231F20"/>
        </w:rPr>
        <w:t>Ecuador</w:t>
      </w:r>
      <w:r>
        <w:rPr>
          <w:color w:val="231F20"/>
          <w:spacing w:val="-13"/>
        </w:rPr>
        <w:t> </w:t>
      </w:r>
      <w:r>
        <w:rPr>
          <w:color w:val="231F20"/>
        </w:rPr>
        <w:t>ha</w:t>
      </w:r>
      <w:r>
        <w:rPr>
          <w:color w:val="231F20"/>
          <w:spacing w:val="-13"/>
        </w:rPr>
        <w:t> </w:t>
      </w:r>
      <w:r>
        <w:rPr>
          <w:color w:val="231F20"/>
        </w:rPr>
        <w:t>implementado</w:t>
      </w:r>
      <w:r>
        <w:rPr>
          <w:color w:val="231F20"/>
          <w:spacing w:val="-13"/>
        </w:rPr>
        <w:t> </w:t>
      </w:r>
      <w:r>
        <w:rPr>
          <w:color w:val="231F20"/>
        </w:rPr>
        <w:t>diversos</w:t>
      </w:r>
      <w:r>
        <w:rPr>
          <w:color w:val="231F20"/>
          <w:spacing w:val="-13"/>
        </w:rPr>
        <w:t> </w:t>
      </w:r>
      <w:r>
        <w:rPr>
          <w:color w:val="231F20"/>
        </w:rPr>
        <w:t>programas y estrategias para la atención integral de la población adolescente (1), siendo los principales el Plan Nacional de Salud Sexual y Salud Reproductiva (2005), el Plan Andino y el Plan Nacional de Prevención del Embarazo en Adolescentes (2007), la Estrategia Intersectorial de Planificación Familiar y Prevención del Embarazo en la Adolescencia (ENIPLA-2010)(6); e institucionalizándose actualmente la provisión de servicios de salud de manera integral e integrada para adolescentes en el primer nivel a través del marco del Modelo de Atención Integral de Salud (MAIS) con</w:t>
      </w:r>
      <w:r>
        <w:rPr>
          <w:color w:val="231F20"/>
          <w:spacing w:val="-30"/>
        </w:rPr>
        <w:t> </w:t>
      </w:r>
      <w:r>
        <w:rPr>
          <w:color w:val="231F20"/>
        </w:rPr>
        <w:t>énfasis en la prevención y promoción (8), con paquete normativo y enfoques de género, intercultural, intergeneracional, de diversidad y de derechos especialmente los sexuales y reproductivos</w:t>
      </w:r>
      <w:r>
        <w:rPr>
          <w:color w:val="231F20"/>
          <w:spacing w:val="6"/>
        </w:rPr>
        <w:t> </w:t>
      </w:r>
      <w:r>
        <w:rPr>
          <w:color w:val="231F20"/>
        </w:rPr>
        <w:t>(1).</w:t>
      </w:r>
    </w:p>
    <w:p>
      <w:pPr>
        <w:pStyle w:val="BodyText"/>
        <w:spacing w:before="5"/>
        <w:rPr>
          <w:sz w:val="26"/>
        </w:rPr>
      </w:pPr>
    </w:p>
    <w:p>
      <w:pPr>
        <w:pStyle w:val="BodyText"/>
        <w:spacing w:line="249" w:lineRule="auto"/>
        <w:ind w:left="117" w:right="113" w:firstLine="283"/>
        <w:jc w:val="both"/>
      </w:pPr>
      <w:r>
        <w:rPr>
          <w:color w:val="231F20"/>
        </w:rPr>
        <w:t>En este contexto es evidente la importancia de trabajar con la población adolescente como el momento más idóneo de incidir de manera sostenida en una prevención eficaz en la salud tanto física como mental de la futura población adulta, además de disminuir las tasas de embarazos no deseados en este grupo de edad que ha venido a constituirse actualmente en un problema importante de salud pública (9) junto con el acoso escolar, el consumo de alcohol, drogas y los trastornos de la conducta alimentaria (10), trascendiendo fronteras y continentes, no siendo excepción nuestra América Latina </w:t>
      </w:r>
      <w:r>
        <w:rPr>
          <w:color w:val="231F20"/>
          <w:spacing w:val="-3"/>
        </w:rPr>
        <w:t>(11). </w:t>
      </w:r>
      <w:r>
        <w:rPr>
          <w:color w:val="231F20"/>
        </w:rPr>
        <w:t>Desde el punto de vista económico inclusive el</w:t>
      </w:r>
      <w:r>
        <w:rPr>
          <w:color w:val="231F20"/>
          <w:spacing w:val="-6"/>
        </w:rPr>
        <w:t> </w:t>
      </w:r>
      <w:r>
        <w:rPr>
          <w:color w:val="231F20"/>
        </w:rPr>
        <w:t>trabajar</w:t>
      </w:r>
      <w:r>
        <w:rPr>
          <w:color w:val="231F20"/>
          <w:spacing w:val="-4"/>
        </w:rPr>
        <w:t> </w:t>
      </w:r>
      <w:r>
        <w:rPr>
          <w:color w:val="231F20"/>
        </w:rPr>
        <w:t>con</w:t>
      </w:r>
      <w:r>
        <w:rPr>
          <w:color w:val="231F20"/>
          <w:spacing w:val="-6"/>
        </w:rPr>
        <w:t> </w:t>
      </w:r>
      <w:r>
        <w:rPr>
          <w:color w:val="231F20"/>
        </w:rPr>
        <w:t>adolescentes</w:t>
      </w:r>
      <w:r>
        <w:rPr>
          <w:color w:val="231F20"/>
          <w:spacing w:val="-5"/>
        </w:rPr>
        <w:t> </w:t>
      </w:r>
      <w:r>
        <w:rPr>
          <w:color w:val="231F20"/>
        </w:rPr>
        <w:t>y</w:t>
      </w:r>
      <w:r>
        <w:rPr>
          <w:color w:val="231F20"/>
          <w:spacing w:val="-6"/>
        </w:rPr>
        <w:t> </w:t>
      </w:r>
      <w:r>
        <w:rPr>
          <w:color w:val="231F20"/>
        </w:rPr>
        <w:t>mientras</w:t>
      </w:r>
      <w:r>
        <w:rPr>
          <w:color w:val="231F20"/>
          <w:spacing w:val="-5"/>
        </w:rPr>
        <w:t> </w:t>
      </w:r>
      <w:r>
        <w:rPr>
          <w:color w:val="231F20"/>
        </w:rPr>
        <w:t>más</w:t>
      </w:r>
      <w:r>
        <w:rPr>
          <w:color w:val="231F20"/>
          <w:spacing w:val="-6"/>
        </w:rPr>
        <w:t> </w:t>
      </w:r>
      <w:r>
        <w:rPr>
          <w:color w:val="231F20"/>
        </w:rPr>
        <w:t>temprano</w:t>
      </w:r>
      <w:r>
        <w:rPr>
          <w:color w:val="231F20"/>
          <w:spacing w:val="-4"/>
        </w:rPr>
        <w:t> </w:t>
      </w:r>
      <w:r>
        <w:rPr>
          <w:color w:val="231F20"/>
        </w:rPr>
        <w:t>lo</w:t>
      </w:r>
      <w:r>
        <w:rPr>
          <w:color w:val="231F20"/>
          <w:spacing w:val="-5"/>
        </w:rPr>
        <w:t> </w:t>
      </w:r>
      <w:r>
        <w:rPr>
          <w:color w:val="231F20"/>
        </w:rPr>
        <w:t>hagamos,</w:t>
      </w:r>
      <w:r>
        <w:rPr>
          <w:color w:val="231F20"/>
          <w:spacing w:val="-6"/>
        </w:rPr>
        <w:t> </w:t>
      </w:r>
      <w:r>
        <w:rPr>
          <w:color w:val="231F20"/>
        </w:rPr>
        <w:t>redundará</w:t>
      </w:r>
      <w:r>
        <w:rPr>
          <w:color w:val="231F20"/>
          <w:spacing w:val="-5"/>
        </w:rPr>
        <w:t> </w:t>
      </w:r>
      <w:r>
        <w:rPr>
          <w:color w:val="231F20"/>
        </w:rPr>
        <w:t>en</w:t>
      </w:r>
      <w:r>
        <w:rPr>
          <w:color w:val="231F20"/>
          <w:spacing w:val="-6"/>
        </w:rPr>
        <w:t> </w:t>
      </w:r>
      <w:r>
        <w:rPr>
          <w:color w:val="231F20"/>
        </w:rPr>
        <w:t>una sociedad adulta sana, educada y capaz de responder a las necesidades personales y colectivas, participando activamente en el desarrollo del país</w:t>
      </w:r>
      <w:r>
        <w:rPr>
          <w:color w:val="231F20"/>
          <w:spacing w:val="31"/>
        </w:rPr>
        <w:t> </w:t>
      </w:r>
      <w:r>
        <w:rPr>
          <w:color w:val="231F20"/>
        </w:rPr>
        <w:t>(12).</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5" w:firstLine="283"/>
        <w:jc w:val="both"/>
      </w:pPr>
      <w:r>
        <w:rPr>
          <w:color w:val="231F20"/>
        </w:rPr>
        <w:t>El presente estudio buscó detectar potenciales trastornos conductuales emocionales, alimentarios y de consumo de alcohol en un grupo de 35 adolescentes tempranos sin ningún tipo de discapacidad, seleccionados arbitrariamente en la ciudad de Ibarra con la aplicación de los test recomendados por el Ministerio de Salud Pública del Ecuador (1), de APGAR familiar, screening de alcoholismo, PHQ- 2 depresión, y screening de conducta alimentaria para que con esta información se puedan intervenir con evaluación más especializada en los adolescentes de riesgo   y desarrollar a futuro estrategias de alto impacto en la promoción de la salud y prevención integral de los trastornos adolescentes con énfasis en la salud</w:t>
      </w:r>
      <w:r>
        <w:rPr>
          <w:color w:val="231F20"/>
          <w:spacing w:val="65"/>
        </w:rPr>
        <w:t> </w:t>
      </w:r>
      <w:r>
        <w:rPr>
          <w:color w:val="231F20"/>
        </w:rPr>
        <w:t>mental.</w:t>
      </w:r>
    </w:p>
    <w:p>
      <w:pPr>
        <w:pStyle w:val="BodyText"/>
        <w:spacing w:before="3"/>
        <w:rPr>
          <w:sz w:val="26"/>
        </w:rPr>
      </w:pPr>
    </w:p>
    <w:p>
      <w:pPr>
        <w:pStyle w:val="Heading2"/>
        <w:ind w:right="104"/>
      </w:pPr>
      <w:r>
        <w:rPr>
          <w:color w:val="D2232A"/>
        </w:rPr>
        <w:t>METODOLOGÍA</w:t>
      </w:r>
    </w:p>
    <w:p>
      <w:pPr>
        <w:pStyle w:val="BodyText"/>
        <w:spacing w:before="8"/>
        <w:rPr>
          <w:b/>
          <w:sz w:val="25"/>
        </w:rPr>
      </w:pPr>
    </w:p>
    <w:p>
      <w:pPr>
        <w:pStyle w:val="BodyText"/>
        <w:spacing w:line="249" w:lineRule="auto"/>
        <w:ind w:left="117" w:right="113" w:firstLine="283"/>
        <w:jc w:val="both"/>
      </w:pPr>
      <w:r>
        <w:rPr>
          <w:color w:val="231F20"/>
        </w:rPr>
        <w:t>El presente estudio se abordó desde el paradigma cuantitativo, con diseño no experimental, de tipo descriptivo y transversal a una muestra seleccionada por conveniencia de 35 adolescentes tempranos comprendidos entre las edades de 10 a 14</w:t>
      </w:r>
      <w:r>
        <w:rPr>
          <w:color w:val="231F20"/>
          <w:spacing w:val="-14"/>
        </w:rPr>
        <w:t> </w:t>
      </w:r>
      <w:r>
        <w:rPr>
          <w:color w:val="231F20"/>
        </w:rPr>
        <w:t>años</w:t>
      </w:r>
      <w:r>
        <w:rPr>
          <w:color w:val="231F20"/>
          <w:spacing w:val="-14"/>
        </w:rPr>
        <w:t> </w:t>
      </w:r>
      <w:r>
        <w:rPr>
          <w:color w:val="231F20"/>
        </w:rPr>
        <w:t>sin</w:t>
      </w:r>
      <w:r>
        <w:rPr>
          <w:color w:val="231F20"/>
          <w:spacing w:val="-14"/>
        </w:rPr>
        <w:t> </w:t>
      </w:r>
      <w:r>
        <w:rPr>
          <w:color w:val="231F20"/>
        </w:rPr>
        <w:t>ningún</w:t>
      </w:r>
      <w:r>
        <w:rPr>
          <w:color w:val="231F20"/>
          <w:spacing w:val="-14"/>
        </w:rPr>
        <w:t> </w:t>
      </w:r>
      <w:r>
        <w:rPr>
          <w:color w:val="231F20"/>
        </w:rPr>
        <w:t>tipo</w:t>
      </w:r>
      <w:r>
        <w:rPr>
          <w:color w:val="231F20"/>
          <w:spacing w:val="-14"/>
        </w:rPr>
        <w:t> </w:t>
      </w:r>
      <w:r>
        <w:rPr>
          <w:color w:val="231F20"/>
        </w:rPr>
        <w:t>de</w:t>
      </w:r>
      <w:r>
        <w:rPr>
          <w:color w:val="231F20"/>
          <w:spacing w:val="-14"/>
        </w:rPr>
        <w:t> </w:t>
      </w:r>
      <w:r>
        <w:rPr>
          <w:color w:val="231F20"/>
        </w:rPr>
        <w:t>discapacidad</w:t>
      </w:r>
      <w:r>
        <w:rPr>
          <w:color w:val="231F20"/>
          <w:spacing w:val="-14"/>
        </w:rPr>
        <w:t> </w:t>
      </w:r>
      <w:r>
        <w:rPr>
          <w:color w:val="231F20"/>
        </w:rPr>
        <w:t>y</w:t>
      </w:r>
      <w:r>
        <w:rPr>
          <w:color w:val="231F20"/>
          <w:spacing w:val="-14"/>
        </w:rPr>
        <w:t> </w:t>
      </w:r>
      <w:r>
        <w:rPr>
          <w:color w:val="231F20"/>
        </w:rPr>
        <w:t>residentes</w:t>
      </w:r>
      <w:r>
        <w:rPr>
          <w:color w:val="231F20"/>
          <w:spacing w:val="-14"/>
        </w:rPr>
        <w:t> </w:t>
      </w:r>
      <w:r>
        <w:rPr>
          <w:color w:val="231F20"/>
        </w:rPr>
        <w:t>habituales</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ciudad</w:t>
      </w:r>
      <w:r>
        <w:rPr>
          <w:color w:val="231F20"/>
          <w:spacing w:val="-14"/>
        </w:rPr>
        <w:t> </w:t>
      </w:r>
      <w:r>
        <w:rPr>
          <w:color w:val="231F20"/>
        </w:rPr>
        <w:t>de</w:t>
      </w:r>
      <w:r>
        <w:rPr>
          <w:color w:val="231F20"/>
          <w:spacing w:val="-14"/>
        </w:rPr>
        <w:t> </w:t>
      </w:r>
      <w:r>
        <w:rPr>
          <w:color w:val="231F20"/>
        </w:rPr>
        <w:t>Ibarra, cantón Ibarra de la provincia de Imbabura país Ecuador. Para la caracterización de las condiciones sociodemográficas se emplearon encuestas donde se contemplaron preguntas sobre la edad, sexo, auto identificación étnica y de género, dirección domiciliaria y datos de contacto. En el tamizaje de conductas de riesgo se aplicaron los instrumentos recomendados por el Ministerio de Salud Pública del Ecuador (1)  de manera autoadministrados con apoyo de los investigadores en caso necesario. Se aplicaron: el test de APGAR familiar a través de 5 items que valora la percepción del adolescente sobre la función familiar (funcional 7-10, disfuncional leve 4-6, disfuncional grave 0-3 puntos); el cuestionario AUDIT-C como herramienta breve de evaluación de consumo riesgoso de alcohol con una sensibilidad sobre el 86% en hombres</w:t>
      </w:r>
      <w:r>
        <w:rPr>
          <w:color w:val="231F20"/>
          <w:spacing w:val="-7"/>
        </w:rPr>
        <w:t> </w:t>
      </w:r>
      <w:r>
        <w:rPr>
          <w:color w:val="231F20"/>
        </w:rPr>
        <w:t>y</w:t>
      </w:r>
      <w:r>
        <w:rPr>
          <w:color w:val="231F20"/>
          <w:spacing w:val="-4"/>
        </w:rPr>
        <w:t> </w:t>
      </w:r>
      <w:r>
        <w:rPr>
          <w:color w:val="231F20"/>
        </w:rPr>
        <w:t>66%</w:t>
      </w:r>
      <w:r>
        <w:rPr>
          <w:color w:val="231F20"/>
          <w:spacing w:val="-6"/>
        </w:rPr>
        <w:t> </w:t>
      </w:r>
      <w:r>
        <w:rPr>
          <w:color w:val="231F20"/>
        </w:rPr>
        <w:t>en</w:t>
      </w:r>
      <w:r>
        <w:rPr>
          <w:color w:val="231F20"/>
          <w:spacing w:val="-5"/>
        </w:rPr>
        <w:t> </w:t>
      </w:r>
      <w:r>
        <w:rPr>
          <w:color w:val="231F20"/>
        </w:rPr>
        <w:t>mujeres</w:t>
      </w:r>
      <w:r>
        <w:rPr>
          <w:color w:val="231F20"/>
          <w:spacing w:val="-5"/>
        </w:rPr>
        <w:t> </w:t>
      </w:r>
      <w:r>
        <w:rPr>
          <w:color w:val="231F20"/>
        </w:rPr>
        <w:t>y</w:t>
      </w:r>
      <w:r>
        <w:rPr>
          <w:color w:val="231F20"/>
          <w:spacing w:val="-5"/>
        </w:rPr>
        <w:t> </w:t>
      </w:r>
      <w:r>
        <w:rPr>
          <w:color w:val="231F20"/>
        </w:rPr>
        <w:t>una</w:t>
      </w:r>
      <w:r>
        <w:rPr>
          <w:color w:val="231F20"/>
          <w:spacing w:val="-5"/>
        </w:rPr>
        <w:t> </w:t>
      </w:r>
      <w:r>
        <w:rPr>
          <w:color w:val="231F20"/>
        </w:rPr>
        <w:t>especificidad</w:t>
      </w:r>
      <w:r>
        <w:rPr>
          <w:color w:val="231F20"/>
          <w:spacing w:val="-5"/>
        </w:rPr>
        <w:t> </w:t>
      </w:r>
      <w:r>
        <w:rPr>
          <w:color w:val="231F20"/>
        </w:rPr>
        <w:t>sobre</w:t>
      </w:r>
      <w:r>
        <w:rPr>
          <w:color w:val="231F20"/>
          <w:spacing w:val="-5"/>
        </w:rPr>
        <w:t> </w:t>
      </w:r>
      <w:r>
        <w:rPr>
          <w:color w:val="231F20"/>
        </w:rPr>
        <w:t>el</w:t>
      </w:r>
      <w:r>
        <w:rPr>
          <w:color w:val="231F20"/>
          <w:spacing w:val="-6"/>
        </w:rPr>
        <w:t> </w:t>
      </w:r>
      <w:r>
        <w:rPr>
          <w:color w:val="231F20"/>
        </w:rPr>
        <w:t>72%</w:t>
      </w:r>
      <w:r>
        <w:rPr>
          <w:color w:val="231F20"/>
          <w:spacing w:val="-6"/>
        </w:rPr>
        <w:t> </w:t>
      </w:r>
      <w:r>
        <w:rPr>
          <w:color w:val="231F20"/>
        </w:rPr>
        <w:t>y</w:t>
      </w:r>
      <w:r>
        <w:rPr>
          <w:color w:val="231F20"/>
          <w:spacing w:val="-5"/>
        </w:rPr>
        <w:t> </w:t>
      </w:r>
      <w:r>
        <w:rPr>
          <w:color w:val="231F20"/>
        </w:rPr>
        <w:t>94%</w:t>
      </w:r>
      <w:r>
        <w:rPr>
          <w:color w:val="231F20"/>
          <w:spacing w:val="-6"/>
        </w:rPr>
        <w:t> </w:t>
      </w:r>
      <w:r>
        <w:rPr>
          <w:color w:val="231F20"/>
        </w:rPr>
        <w:t>respectivamente, donde un puntaje igual o superior a 4 en hombres o 3 en mujeres sobre 12 puntos, indica consumo riesgoso de alcohol; el cuestionario SCOFF para la detección de trastornos de la conducta alimentaria (tanto tendencia de anorexia y/o bulimia) donde dos o más respuestas positivas de las cinco que explora indica ya presencia del trastorno, con una sensibilidad del 98% y especificidad del 94%; </w:t>
      </w:r>
      <w:r>
        <w:rPr>
          <w:color w:val="231F20"/>
          <w:spacing w:val="-9"/>
        </w:rPr>
        <w:t>y, </w:t>
      </w:r>
      <w:r>
        <w:rPr>
          <w:color w:val="231F20"/>
        </w:rPr>
        <w:t>el cuestionario PHQ-2 para el tamizaje de depresión en adolescentes, que explora la presencia de ánimo deprimido y anhedonia en las dos últimas semanas previas a la aplicación, donde sobre el rango de 0 a 6 puntos los pacientes que alcancen un puntaje igual o superior a 3 puntos requieren evaluación adicional para determinar con exactitud la presencia o no de un trastorno depresivo propiamente. Los instrumentos utilizados no</w:t>
      </w:r>
      <w:r>
        <w:rPr>
          <w:color w:val="231F20"/>
          <w:spacing w:val="-5"/>
        </w:rPr>
        <w:t> </w:t>
      </w:r>
      <w:r>
        <w:rPr>
          <w:color w:val="231F20"/>
        </w:rPr>
        <w:t>buscan</w:t>
      </w:r>
      <w:r>
        <w:rPr>
          <w:color w:val="231F20"/>
          <w:spacing w:val="-5"/>
        </w:rPr>
        <w:t> </w:t>
      </w:r>
      <w:r>
        <w:rPr>
          <w:color w:val="231F20"/>
        </w:rPr>
        <w:t>un</w:t>
      </w:r>
      <w:r>
        <w:rPr>
          <w:color w:val="231F20"/>
          <w:spacing w:val="-4"/>
        </w:rPr>
        <w:t> </w:t>
      </w:r>
      <w:r>
        <w:rPr>
          <w:color w:val="231F20"/>
        </w:rPr>
        <w:t>diagnóstico</w:t>
      </w:r>
      <w:r>
        <w:rPr>
          <w:color w:val="231F20"/>
          <w:spacing w:val="-5"/>
        </w:rPr>
        <w:t> </w:t>
      </w:r>
      <w:r>
        <w:rPr>
          <w:color w:val="231F20"/>
        </w:rPr>
        <w:t>definitivo</w:t>
      </w:r>
      <w:r>
        <w:rPr>
          <w:color w:val="231F20"/>
          <w:spacing w:val="-4"/>
        </w:rPr>
        <w:t> </w:t>
      </w:r>
      <w:r>
        <w:rPr>
          <w:color w:val="231F20"/>
        </w:rPr>
        <w:t>ni</w:t>
      </w:r>
      <w:r>
        <w:rPr>
          <w:color w:val="231F20"/>
          <w:spacing w:val="-5"/>
        </w:rPr>
        <w:t> </w:t>
      </w:r>
      <w:r>
        <w:rPr>
          <w:color w:val="231F20"/>
        </w:rPr>
        <w:t>la</w:t>
      </w:r>
      <w:r>
        <w:rPr>
          <w:color w:val="231F20"/>
          <w:spacing w:val="-4"/>
        </w:rPr>
        <w:t> </w:t>
      </w:r>
      <w:r>
        <w:rPr>
          <w:color w:val="231F20"/>
        </w:rPr>
        <w:t>gravedad</w:t>
      </w:r>
      <w:r>
        <w:rPr>
          <w:color w:val="231F20"/>
          <w:spacing w:val="-5"/>
        </w:rPr>
        <w:t> </w:t>
      </w:r>
      <w:r>
        <w:rPr>
          <w:color w:val="231F20"/>
        </w:rPr>
        <w:t>de</w:t>
      </w:r>
      <w:r>
        <w:rPr>
          <w:color w:val="231F20"/>
          <w:spacing w:val="-4"/>
        </w:rPr>
        <w:t> </w:t>
      </w:r>
      <w:r>
        <w:rPr>
          <w:color w:val="231F20"/>
        </w:rPr>
        <w:t>los</w:t>
      </w:r>
      <w:r>
        <w:rPr>
          <w:color w:val="231F20"/>
          <w:spacing w:val="-5"/>
        </w:rPr>
        <w:t> </w:t>
      </w:r>
      <w:r>
        <w:rPr>
          <w:color w:val="231F20"/>
        </w:rPr>
        <w:t>trastornos</w:t>
      </w:r>
      <w:r>
        <w:rPr>
          <w:color w:val="231F20"/>
          <w:spacing w:val="-4"/>
        </w:rPr>
        <w:t> </w:t>
      </w:r>
      <w:r>
        <w:rPr>
          <w:color w:val="231F20"/>
        </w:rPr>
        <w:t>que</w:t>
      </w:r>
      <w:r>
        <w:rPr>
          <w:color w:val="231F20"/>
          <w:spacing w:val="-5"/>
        </w:rPr>
        <w:t> </w:t>
      </w:r>
      <w:r>
        <w:rPr>
          <w:color w:val="231F20"/>
        </w:rPr>
        <w:t>exploran</w:t>
      </w:r>
      <w:r>
        <w:rPr>
          <w:color w:val="231F20"/>
          <w:spacing w:val="-4"/>
        </w:rPr>
        <w:t> </w:t>
      </w:r>
      <w:r>
        <w:rPr>
          <w:color w:val="231F20"/>
        </w:rPr>
        <w:t>sino más bien la detección inicial y rápida de casos de riesgo que ameriten evaluación adicional y más</w:t>
      </w:r>
      <w:r>
        <w:rPr>
          <w:color w:val="231F20"/>
          <w:spacing w:val="6"/>
        </w:rPr>
        <w:t> </w:t>
      </w:r>
      <w:r>
        <w:rPr>
          <w:color w:val="231F20"/>
        </w:rPr>
        <w:t>profunda.</w:t>
      </w:r>
    </w:p>
    <w:p>
      <w:pPr>
        <w:pStyle w:val="BodyText"/>
        <w:spacing w:before="5"/>
        <w:rPr>
          <w:sz w:val="27"/>
        </w:rPr>
      </w:pPr>
    </w:p>
    <w:p>
      <w:pPr>
        <w:pStyle w:val="BodyText"/>
        <w:spacing w:line="249" w:lineRule="auto" w:before="1"/>
        <w:ind w:left="117" w:right="115" w:firstLine="283"/>
        <w:jc w:val="both"/>
      </w:pPr>
      <w:r>
        <w:rPr>
          <w:color w:val="231F20"/>
        </w:rPr>
        <w:t>Para</w:t>
      </w:r>
      <w:r>
        <w:rPr>
          <w:color w:val="231F20"/>
          <w:spacing w:val="-31"/>
        </w:rPr>
        <w:t> </w:t>
      </w:r>
      <w:r>
        <w:rPr>
          <w:color w:val="231F20"/>
        </w:rPr>
        <w:t>el</w:t>
      </w:r>
      <w:r>
        <w:rPr>
          <w:color w:val="231F20"/>
          <w:spacing w:val="-30"/>
        </w:rPr>
        <w:t> </w:t>
      </w:r>
      <w:r>
        <w:rPr>
          <w:color w:val="231F20"/>
        </w:rPr>
        <w:t>procesamiento</w:t>
      </w:r>
      <w:r>
        <w:rPr>
          <w:color w:val="231F20"/>
          <w:spacing w:val="-30"/>
        </w:rPr>
        <w:t> </w:t>
      </w:r>
      <w:r>
        <w:rPr>
          <w:color w:val="231F20"/>
        </w:rPr>
        <w:t>de</w:t>
      </w:r>
      <w:r>
        <w:rPr>
          <w:color w:val="231F20"/>
          <w:spacing w:val="-30"/>
        </w:rPr>
        <w:t> </w:t>
      </w:r>
      <w:r>
        <w:rPr>
          <w:color w:val="231F20"/>
        </w:rPr>
        <w:t>los</w:t>
      </w:r>
      <w:r>
        <w:rPr>
          <w:color w:val="231F20"/>
          <w:spacing w:val="-30"/>
        </w:rPr>
        <w:t> </w:t>
      </w:r>
      <w:r>
        <w:rPr>
          <w:color w:val="231F20"/>
        </w:rPr>
        <w:t>datos</w:t>
      </w:r>
      <w:r>
        <w:rPr>
          <w:color w:val="231F20"/>
          <w:spacing w:val="-30"/>
        </w:rPr>
        <w:t> </w:t>
      </w:r>
      <w:r>
        <w:rPr>
          <w:color w:val="231F20"/>
        </w:rPr>
        <w:t>se</w:t>
      </w:r>
      <w:r>
        <w:rPr>
          <w:color w:val="231F20"/>
          <w:spacing w:val="-30"/>
        </w:rPr>
        <w:t> </w:t>
      </w:r>
      <w:r>
        <w:rPr>
          <w:color w:val="231F20"/>
        </w:rPr>
        <w:t>creó</w:t>
      </w:r>
      <w:r>
        <w:rPr>
          <w:color w:val="231F20"/>
          <w:spacing w:val="-30"/>
        </w:rPr>
        <w:t> </w:t>
      </w:r>
      <w:r>
        <w:rPr>
          <w:color w:val="231F20"/>
        </w:rPr>
        <w:t>una</w:t>
      </w:r>
      <w:r>
        <w:rPr>
          <w:color w:val="231F20"/>
          <w:spacing w:val="-30"/>
        </w:rPr>
        <w:t> </w:t>
      </w:r>
      <w:r>
        <w:rPr>
          <w:color w:val="231F20"/>
        </w:rPr>
        <w:t>matriz</w:t>
      </w:r>
      <w:r>
        <w:rPr>
          <w:color w:val="231F20"/>
          <w:spacing w:val="-30"/>
        </w:rPr>
        <w:t> </w:t>
      </w:r>
      <w:r>
        <w:rPr>
          <w:color w:val="231F20"/>
        </w:rPr>
        <w:t>en</w:t>
      </w:r>
      <w:r>
        <w:rPr>
          <w:color w:val="231F20"/>
          <w:spacing w:val="-30"/>
        </w:rPr>
        <w:t> </w:t>
      </w:r>
      <w:r>
        <w:rPr>
          <w:color w:val="231F20"/>
        </w:rPr>
        <w:t>el</w:t>
      </w:r>
      <w:r>
        <w:rPr>
          <w:color w:val="231F20"/>
          <w:spacing w:val="-30"/>
        </w:rPr>
        <w:t> </w:t>
      </w:r>
      <w:r>
        <w:rPr>
          <w:color w:val="231F20"/>
        </w:rPr>
        <w:t>programa</w:t>
      </w:r>
      <w:r>
        <w:rPr>
          <w:color w:val="231F20"/>
          <w:spacing w:val="-30"/>
        </w:rPr>
        <w:t> </w:t>
      </w:r>
      <w:r>
        <w:rPr>
          <w:color w:val="231F20"/>
        </w:rPr>
        <w:t>Microsoft</w:t>
      </w:r>
      <w:r>
        <w:rPr>
          <w:color w:val="231F20"/>
          <w:spacing w:val="-30"/>
        </w:rPr>
        <w:t> </w:t>
      </w:r>
      <w:r>
        <w:rPr>
          <w:color w:val="231F20"/>
        </w:rPr>
        <w:t>Excel 2003.</w:t>
      </w:r>
      <w:r>
        <w:rPr>
          <w:color w:val="231F20"/>
          <w:spacing w:val="-10"/>
        </w:rPr>
        <w:t> </w:t>
      </w:r>
      <w:r>
        <w:rPr>
          <w:color w:val="231F20"/>
        </w:rPr>
        <w:t>Las</w:t>
      </w:r>
      <w:r>
        <w:rPr>
          <w:color w:val="231F20"/>
          <w:spacing w:val="-9"/>
        </w:rPr>
        <w:t> </w:t>
      </w:r>
      <w:r>
        <w:rPr>
          <w:color w:val="231F20"/>
        </w:rPr>
        <w:t>variables</w:t>
      </w:r>
      <w:r>
        <w:rPr>
          <w:color w:val="231F20"/>
          <w:spacing w:val="-9"/>
        </w:rPr>
        <w:t> </w:t>
      </w:r>
      <w:r>
        <w:rPr>
          <w:color w:val="231F20"/>
        </w:rPr>
        <w:t>de</w:t>
      </w:r>
      <w:r>
        <w:rPr>
          <w:color w:val="231F20"/>
          <w:spacing w:val="-10"/>
        </w:rPr>
        <w:t> </w:t>
      </w:r>
      <w:r>
        <w:rPr>
          <w:color w:val="231F20"/>
        </w:rPr>
        <w:t>tipo</w:t>
      </w:r>
      <w:r>
        <w:rPr>
          <w:color w:val="231F20"/>
          <w:spacing w:val="-9"/>
        </w:rPr>
        <w:t> </w:t>
      </w:r>
      <w:r>
        <w:rPr>
          <w:color w:val="231F20"/>
        </w:rPr>
        <w:t>nominal</w:t>
      </w:r>
      <w:r>
        <w:rPr>
          <w:color w:val="231F20"/>
          <w:spacing w:val="-9"/>
        </w:rPr>
        <w:t> </w:t>
      </w:r>
      <w:r>
        <w:rPr>
          <w:color w:val="231F20"/>
        </w:rPr>
        <w:t>y</w:t>
      </w:r>
      <w:r>
        <w:rPr>
          <w:color w:val="231F20"/>
          <w:spacing w:val="-9"/>
        </w:rPr>
        <w:t> </w:t>
      </w:r>
      <w:r>
        <w:rPr>
          <w:color w:val="231F20"/>
        </w:rPr>
        <w:t>ordinal</w:t>
      </w:r>
      <w:r>
        <w:rPr>
          <w:color w:val="231F20"/>
          <w:spacing w:val="-10"/>
        </w:rPr>
        <w:t> </w:t>
      </w:r>
      <w:r>
        <w:rPr>
          <w:color w:val="231F20"/>
        </w:rPr>
        <w:t>se</w:t>
      </w:r>
      <w:r>
        <w:rPr>
          <w:color w:val="231F20"/>
          <w:spacing w:val="-9"/>
        </w:rPr>
        <w:t> </w:t>
      </w:r>
      <w:r>
        <w:rPr>
          <w:color w:val="231F20"/>
        </w:rPr>
        <w:t>estudiaron</w:t>
      </w:r>
      <w:r>
        <w:rPr>
          <w:color w:val="231F20"/>
          <w:spacing w:val="-9"/>
        </w:rPr>
        <w:t> </w:t>
      </w:r>
      <w:r>
        <w:rPr>
          <w:color w:val="231F20"/>
        </w:rPr>
        <w:t>mediante</w:t>
      </w:r>
      <w:r>
        <w:rPr>
          <w:color w:val="231F20"/>
          <w:spacing w:val="-9"/>
        </w:rPr>
        <w:t> </w:t>
      </w:r>
      <w:r>
        <w:rPr>
          <w:color w:val="231F20"/>
        </w:rPr>
        <w:t>la</w:t>
      </w:r>
      <w:r>
        <w:rPr>
          <w:color w:val="231F20"/>
          <w:spacing w:val="-10"/>
        </w:rPr>
        <w:t> </w:t>
      </w:r>
      <w:r>
        <w:rPr>
          <w:color w:val="231F20"/>
        </w:rPr>
        <w:t>determinación de</w:t>
      </w:r>
      <w:r>
        <w:rPr>
          <w:color w:val="231F20"/>
          <w:spacing w:val="-26"/>
        </w:rPr>
        <w:t> </w:t>
      </w:r>
      <w:r>
        <w:rPr>
          <w:color w:val="231F20"/>
        </w:rPr>
        <w:t>frecuencia</w:t>
      </w:r>
      <w:r>
        <w:rPr>
          <w:color w:val="231F20"/>
          <w:spacing w:val="-25"/>
        </w:rPr>
        <w:t> </w:t>
      </w:r>
      <w:r>
        <w:rPr>
          <w:color w:val="231F20"/>
        </w:rPr>
        <w:t>absoluta</w:t>
      </w:r>
      <w:r>
        <w:rPr>
          <w:color w:val="231F20"/>
          <w:spacing w:val="-25"/>
        </w:rPr>
        <w:t> </w:t>
      </w:r>
      <w:r>
        <w:rPr>
          <w:color w:val="231F20"/>
        </w:rPr>
        <w:t>y</w:t>
      </w:r>
      <w:r>
        <w:rPr>
          <w:color w:val="231F20"/>
          <w:spacing w:val="-25"/>
        </w:rPr>
        <w:t> </w:t>
      </w:r>
      <w:r>
        <w:rPr>
          <w:color w:val="231F20"/>
        </w:rPr>
        <w:t>frecuencia</w:t>
      </w:r>
      <w:r>
        <w:rPr>
          <w:color w:val="231F20"/>
          <w:spacing w:val="-26"/>
        </w:rPr>
        <w:t> </w:t>
      </w:r>
      <w:r>
        <w:rPr>
          <w:color w:val="231F20"/>
        </w:rPr>
        <w:t>relativa</w:t>
      </w:r>
      <w:r>
        <w:rPr>
          <w:color w:val="231F20"/>
          <w:spacing w:val="-25"/>
        </w:rPr>
        <w:t> </w:t>
      </w:r>
      <w:r>
        <w:rPr>
          <w:color w:val="231F20"/>
        </w:rPr>
        <w:t>porcentualmente,</w:t>
      </w:r>
      <w:r>
        <w:rPr>
          <w:color w:val="231F20"/>
          <w:spacing w:val="-25"/>
        </w:rPr>
        <w:t> </w:t>
      </w:r>
      <w:r>
        <w:rPr>
          <w:color w:val="231F20"/>
        </w:rPr>
        <w:t>las</w:t>
      </w:r>
      <w:r>
        <w:rPr>
          <w:color w:val="231F20"/>
          <w:spacing w:val="-25"/>
        </w:rPr>
        <w:t> </w:t>
      </w:r>
      <w:r>
        <w:rPr>
          <w:color w:val="231F20"/>
        </w:rPr>
        <w:t>cuales</w:t>
      </w:r>
      <w:r>
        <w:rPr>
          <w:color w:val="231F20"/>
          <w:spacing w:val="-26"/>
        </w:rPr>
        <w:t> </w:t>
      </w:r>
      <w:r>
        <w:rPr>
          <w:color w:val="231F20"/>
        </w:rPr>
        <w:t>se</w:t>
      </w:r>
      <w:r>
        <w:rPr>
          <w:color w:val="231F20"/>
          <w:spacing w:val="-25"/>
        </w:rPr>
        <w:t> </w:t>
      </w:r>
      <w:r>
        <w:rPr>
          <w:color w:val="231F20"/>
        </w:rPr>
        <w:t>dispusieron en tablas de frecuencia y figuras, utilizando la estadística</w:t>
      </w:r>
      <w:r>
        <w:rPr>
          <w:color w:val="231F20"/>
          <w:spacing w:val="-14"/>
        </w:rPr>
        <w:t> </w:t>
      </w:r>
      <w:r>
        <w:rPr>
          <w:color w:val="231F20"/>
        </w:rPr>
        <w:t>descriptiva.</w:t>
      </w:r>
    </w:p>
    <w:p>
      <w:pPr>
        <w:spacing w:after="0" w:line="249" w:lineRule="auto"/>
        <w:jc w:val="both"/>
        <w:sectPr>
          <w:pgSz w:w="11910" w:h="16840"/>
          <w:pgMar w:header="581" w:footer="1333" w:top="1240" w:bottom="1520" w:left="1300" w:right="1300"/>
        </w:sectPr>
      </w:pPr>
    </w:p>
    <w:p>
      <w:pPr>
        <w:pStyle w:val="BodyText"/>
        <w:spacing w:before="10"/>
        <w:rPr>
          <w:sz w:val="16"/>
        </w:rPr>
      </w:pPr>
    </w:p>
    <w:p>
      <w:pPr>
        <w:pStyle w:val="Heading2"/>
        <w:spacing w:before="91"/>
      </w:pPr>
      <w:r>
        <w:rPr>
          <w:color w:val="D2232A"/>
        </w:rPr>
        <w:t>RESULTADOS</w:t>
      </w:r>
    </w:p>
    <w:p>
      <w:pPr>
        <w:pStyle w:val="BodyText"/>
        <w:spacing w:before="8"/>
        <w:rPr>
          <w:b/>
          <w:sz w:val="25"/>
        </w:rPr>
      </w:pPr>
    </w:p>
    <w:p>
      <w:pPr>
        <w:pStyle w:val="BodyText"/>
        <w:spacing w:line="249" w:lineRule="auto" w:before="1"/>
        <w:ind w:left="117" w:right="115" w:firstLine="283"/>
        <w:jc w:val="both"/>
      </w:pPr>
      <w:r>
        <w:rPr>
          <w:color w:val="231F20"/>
        </w:rPr>
        <w:t>Como se muestra en la Figura 1, entre las características sociodemográficas del grupo</w:t>
      </w:r>
      <w:r>
        <w:rPr>
          <w:color w:val="231F20"/>
          <w:spacing w:val="-19"/>
        </w:rPr>
        <w:t> </w:t>
      </w:r>
      <w:r>
        <w:rPr>
          <w:color w:val="231F20"/>
        </w:rPr>
        <w:t>de</w:t>
      </w:r>
      <w:r>
        <w:rPr>
          <w:color w:val="231F20"/>
          <w:spacing w:val="-19"/>
        </w:rPr>
        <w:t> </w:t>
      </w:r>
      <w:r>
        <w:rPr>
          <w:color w:val="231F20"/>
        </w:rPr>
        <w:t>estudio,</w:t>
      </w:r>
      <w:r>
        <w:rPr>
          <w:color w:val="231F20"/>
          <w:spacing w:val="-18"/>
        </w:rPr>
        <w:t> </w:t>
      </w:r>
      <w:r>
        <w:rPr>
          <w:color w:val="231F20"/>
        </w:rPr>
        <w:t>la</w:t>
      </w:r>
      <w:r>
        <w:rPr>
          <w:color w:val="231F20"/>
          <w:spacing w:val="-19"/>
        </w:rPr>
        <w:t> </w:t>
      </w:r>
      <w:r>
        <w:rPr>
          <w:color w:val="231F20"/>
        </w:rPr>
        <w:t>mayoría</w:t>
      </w:r>
      <w:r>
        <w:rPr>
          <w:color w:val="231F20"/>
          <w:spacing w:val="-18"/>
        </w:rPr>
        <w:t> </w:t>
      </w:r>
      <w:r>
        <w:rPr>
          <w:color w:val="231F20"/>
        </w:rPr>
        <w:t>de</w:t>
      </w:r>
      <w:r>
        <w:rPr>
          <w:color w:val="231F20"/>
          <w:spacing w:val="-19"/>
        </w:rPr>
        <w:t> </w:t>
      </w:r>
      <w:r>
        <w:rPr>
          <w:color w:val="231F20"/>
        </w:rPr>
        <w:t>los</w:t>
      </w:r>
      <w:r>
        <w:rPr>
          <w:color w:val="231F20"/>
          <w:spacing w:val="-18"/>
        </w:rPr>
        <w:t> </w:t>
      </w:r>
      <w:r>
        <w:rPr>
          <w:color w:val="231F20"/>
        </w:rPr>
        <w:t>adolescentes</w:t>
      </w:r>
      <w:r>
        <w:rPr>
          <w:color w:val="231F20"/>
          <w:spacing w:val="-19"/>
        </w:rPr>
        <w:t> </w:t>
      </w:r>
      <w:r>
        <w:rPr>
          <w:color w:val="231F20"/>
        </w:rPr>
        <w:t>tempranos</w:t>
      </w:r>
      <w:r>
        <w:rPr>
          <w:color w:val="231F20"/>
          <w:spacing w:val="-19"/>
        </w:rPr>
        <w:t> </w:t>
      </w:r>
      <w:r>
        <w:rPr>
          <w:color w:val="231F20"/>
        </w:rPr>
        <w:t>se</w:t>
      </w:r>
      <w:r>
        <w:rPr>
          <w:color w:val="231F20"/>
          <w:spacing w:val="-18"/>
        </w:rPr>
        <w:t> </w:t>
      </w:r>
      <w:r>
        <w:rPr>
          <w:color w:val="231F20"/>
        </w:rPr>
        <w:t>autoidentificaron</w:t>
      </w:r>
      <w:r>
        <w:rPr>
          <w:color w:val="231F20"/>
          <w:spacing w:val="-19"/>
        </w:rPr>
        <w:t> </w:t>
      </w:r>
      <w:r>
        <w:rPr>
          <w:color w:val="231F20"/>
        </w:rPr>
        <w:t>como mestizos, 86%, seguidos de afroecuatorianos 9%, y muy pocos como indígenas 3%, y blancos 2%. En cuanto a la identificación de género y orientación sexual todos se consideraron</w:t>
      </w:r>
      <w:r>
        <w:rPr>
          <w:color w:val="231F20"/>
          <w:spacing w:val="-8"/>
        </w:rPr>
        <w:t> </w:t>
      </w:r>
      <w:r>
        <w:rPr>
          <w:color w:val="231F20"/>
        </w:rPr>
        <w:t>heterosexuales</w:t>
      </w:r>
      <w:r>
        <w:rPr>
          <w:color w:val="231F20"/>
          <w:spacing w:val="-7"/>
        </w:rPr>
        <w:t> </w:t>
      </w:r>
      <w:r>
        <w:rPr>
          <w:color w:val="231F20"/>
        </w:rPr>
        <w:t>y</w:t>
      </w:r>
      <w:r>
        <w:rPr>
          <w:color w:val="231F20"/>
          <w:spacing w:val="-7"/>
        </w:rPr>
        <w:t> </w:t>
      </w:r>
      <w:r>
        <w:rPr>
          <w:color w:val="231F20"/>
        </w:rPr>
        <w:t>existió</w:t>
      </w:r>
      <w:r>
        <w:rPr>
          <w:color w:val="231F20"/>
          <w:spacing w:val="-7"/>
        </w:rPr>
        <w:t> </w:t>
      </w:r>
      <w:r>
        <w:rPr>
          <w:color w:val="231F20"/>
        </w:rPr>
        <w:t>una</w:t>
      </w:r>
      <w:r>
        <w:rPr>
          <w:color w:val="231F20"/>
          <w:spacing w:val="-8"/>
        </w:rPr>
        <w:t> </w:t>
      </w:r>
      <w:r>
        <w:rPr>
          <w:color w:val="231F20"/>
        </w:rPr>
        <w:t>distribución</w:t>
      </w:r>
      <w:r>
        <w:rPr>
          <w:color w:val="231F20"/>
          <w:spacing w:val="-7"/>
        </w:rPr>
        <w:t> </w:t>
      </w:r>
      <w:r>
        <w:rPr>
          <w:color w:val="231F20"/>
        </w:rPr>
        <w:t>equitativa</w:t>
      </w:r>
      <w:r>
        <w:rPr>
          <w:color w:val="231F20"/>
          <w:spacing w:val="-7"/>
        </w:rPr>
        <w:t> </w:t>
      </w:r>
      <w:r>
        <w:rPr>
          <w:color w:val="231F20"/>
        </w:rPr>
        <w:t>entre</w:t>
      </w:r>
      <w:r>
        <w:rPr>
          <w:color w:val="231F20"/>
          <w:spacing w:val="-7"/>
        </w:rPr>
        <w:t> </w:t>
      </w:r>
      <w:r>
        <w:rPr>
          <w:color w:val="231F20"/>
        </w:rPr>
        <w:t>mujeres</w:t>
      </w:r>
      <w:r>
        <w:rPr>
          <w:color w:val="231F20"/>
          <w:spacing w:val="-8"/>
        </w:rPr>
        <w:t> </w:t>
      </w:r>
      <w:r>
        <w:rPr>
          <w:color w:val="231F20"/>
        </w:rPr>
        <w:t>con</w:t>
      </w:r>
      <w:r>
        <w:rPr>
          <w:color w:val="231F20"/>
          <w:spacing w:val="-7"/>
        </w:rPr>
        <w:t> </w:t>
      </w:r>
      <w:r>
        <w:rPr>
          <w:color w:val="231F20"/>
        </w:rPr>
        <w:t>el 49%</w:t>
      </w:r>
      <w:r>
        <w:rPr>
          <w:color w:val="231F20"/>
          <w:spacing w:val="-3"/>
        </w:rPr>
        <w:t> </w:t>
      </w:r>
      <w:r>
        <w:rPr>
          <w:color w:val="231F20"/>
        </w:rPr>
        <w:t>y</w:t>
      </w:r>
      <w:r>
        <w:rPr>
          <w:color w:val="231F20"/>
          <w:spacing w:val="-3"/>
        </w:rPr>
        <w:t> </w:t>
      </w:r>
      <w:r>
        <w:rPr>
          <w:color w:val="231F20"/>
        </w:rPr>
        <w:t>hombres</w:t>
      </w:r>
      <w:r>
        <w:rPr>
          <w:color w:val="231F20"/>
          <w:spacing w:val="-3"/>
        </w:rPr>
        <w:t> </w:t>
      </w:r>
      <w:r>
        <w:rPr>
          <w:color w:val="231F20"/>
        </w:rPr>
        <w:t>con</w:t>
      </w:r>
      <w:r>
        <w:rPr>
          <w:color w:val="231F20"/>
          <w:spacing w:val="-3"/>
        </w:rPr>
        <w:t> </w:t>
      </w:r>
      <w:r>
        <w:rPr>
          <w:color w:val="231F20"/>
        </w:rPr>
        <w:t>el</w:t>
      </w:r>
      <w:r>
        <w:rPr>
          <w:color w:val="231F20"/>
          <w:spacing w:val="-2"/>
        </w:rPr>
        <w:t> </w:t>
      </w:r>
      <w:r>
        <w:rPr>
          <w:color w:val="231F20"/>
        </w:rPr>
        <w:t>51%.</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Figura</w:t>
      </w:r>
      <w:r>
        <w:rPr>
          <w:color w:val="231F20"/>
          <w:spacing w:val="-3"/>
        </w:rPr>
        <w:t> </w:t>
      </w:r>
      <w:r>
        <w:rPr>
          <w:color w:val="231F20"/>
        </w:rPr>
        <w:t>2</w:t>
      </w:r>
      <w:r>
        <w:rPr>
          <w:color w:val="231F20"/>
          <w:spacing w:val="-2"/>
        </w:rPr>
        <w:t> </w:t>
      </w:r>
      <w:r>
        <w:rPr>
          <w:color w:val="231F20"/>
        </w:rPr>
        <w:t>se</w:t>
      </w:r>
      <w:r>
        <w:rPr>
          <w:color w:val="231F20"/>
          <w:spacing w:val="-3"/>
        </w:rPr>
        <w:t> </w:t>
      </w:r>
      <w:r>
        <w:rPr>
          <w:color w:val="231F20"/>
        </w:rPr>
        <w:t>muestra</w:t>
      </w:r>
      <w:r>
        <w:rPr>
          <w:color w:val="231F20"/>
          <w:spacing w:val="-3"/>
        </w:rPr>
        <w:t> </w:t>
      </w:r>
      <w:r>
        <w:rPr>
          <w:color w:val="231F20"/>
        </w:rPr>
        <w:t>la</w:t>
      </w:r>
      <w:r>
        <w:rPr>
          <w:color w:val="231F20"/>
          <w:spacing w:val="-3"/>
        </w:rPr>
        <w:t> </w:t>
      </w:r>
      <w:r>
        <w:rPr>
          <w:color w:val="231F20"/>
        </w:rPr>
        <w:t>relación</w:t>
      </w:r>
      <w:r>
        <w:rPr>
          <w:color w:val="231F20"/>
          <w:spacing w:val="-3"/>
        </w:rPr>
        <w:t> </w:t>
      </w:r>
      <w:r>
        <w:rPr>
          <w:color w:val="231F20"/>
        </w:rPr>
        <w:t>al</w:t>
      </w:r>
      <w:r>
        <w:rPr>
          <w:color w:val="231F20"/>
          <w:spacing w:val="-16"/>
        </w:rPr>
        <w:t> </w:t>
      </w:r>
      <w:r>
        <w:rPr>
          <w:color w:val="231F20"/>
        </w:rPr>
        <w:t>APGAR</w:t>
      </w:r>
      <w:r>
        <w:rPr>
          <w:color w:val="231F20"/>
          <w:spacing w:val="-3"/>
        </w:rPr>
        <w:t> </w:t>
      </w:r>
      <w:r>
        <w:rPr>
          <w:color w:val="231F20"/>
        </w:rPr>
        <w:t>Familiar, donde se encontró que en el 86% de los adolescentes existía la percepción de una familia funcional (APGAR entre 7 y 10 puntos), en el 9% disfuncional leve (APGAR entre 4 y 6 puntos) y un 3% disfuncional grave (APGAR entre 0 y 3</w:t>
      </w:r>
      <w:r>
        <w:rPr>
          <w:color w:val="231F20"/>
          <w:spacing w:val="-30"/>
        </w:rPr>
        <w:t> </w:t>
      </w:r>
      <w:r>
        <w:rPr>
          <w:color w:val="231F20"/>
        </w:rPr>
        <w:t>puntos).</w:t>
      </w:r>
    </w:p>
    <w:p>
      <w:pPr>
        <w:pStyle w:val="BodyText"/>
        <w:spacing w:before="9"/>
        <w:rPr>
          <w:sz w:val="25"/>
        </w:rPr>
      </w:pPr>
    </w:p>
    <w:p>
      <w:pPr>
        <w:pStyle w:val="BodyText"/>
        <w:spacing w:line="249" w:lineRule="auto"/>
        <w:ind w:left="117" w:right="114" w:firstLine="283"/>
        <w:jc w:val="both"/>
        <w:rPr>
          <w:i/>
        </w:rPr>
      </w:pPr>
      <w:r>
        <w:rPr>
          <w:color w:val="231F20"/>
        </w:rPr>
        <w:t>Al valorar las conductas de riesgo se encontró que 7 de cada 10 adolescentes tempranos, 71%, presentaban ya un trastorno de conducta alimentaria (dos o más respuestas</w:t>
      </w:r>
      <w:r>
        <w:rPr>
          <w:color w:val="231F20"/>
          <w:spacing w:val="-24"/>
        </w:rPr>
        <w:t> </w:t>
      </w:r>
      <w:r>
        <w:rPr>
          <w:color w:val="231F20"/>
        </w:rPr>
        <w:t>positivas</w:t>
      </w:r>
      <w:r>
        <w:rPr>
          <w:color w:val="231F20"/>
          <w:spacing w:val="-23"/>
        </w:rPr>
        <w:t> </w:t>
      </w:r>
      <w:r>
        <w:rPr>
          <w:color w:val="231F20"/>
        </w:rPr>
        <w:t>de</w:t>
      </w:r>
      <w:r>
        <w:rPr>
          <w:color w:val="231F20"/>
          <w:spacing w:val="-23"/>
        </w:rPr>
        <w:t> </w:t>
      </w:r>
      <w:r>
        <w:rPr>
          <w:color w:val="231F20"/>
        </w:rPr>
        <w:t>las</w:t>
      </w:r>
      <w:r>
        <w:rPr>
          <w:color w:val="231F20"/>
          <w:spacing w:val="-24"/>
        </w:rPr>
        <w:t> </w:t>
      </w:r>
      <w:r>
        <w:rPr>
          <w:color w:val="231F20"/>
        </w:rPr>
        <w:t>cinco</w:t>
      </w:r>
      <w:r>
        <w:rPr>
          <w:color w:val="231F20"/>
          <w:spacing w:val="-23"/>
        </w:rPr>
        <w:t> </w:t>
      </w:r>
      <w:r>
        <w:rPr>
          <w:color w:val="231F20"/>
        </w:rPr>
        <w:t>que</w:t>
      </w:r>
      <w:r>
        <w:rPr>
          <w:color w:val="231F20"/>
          <w:spacing w:val="-23"/>
        </w:rPr>
        <w:t> </w:t>
      </w:r>
      <w:r>
        <w:rPr>
          <w:color w:val="231F20"/>
        </w:rPr>
        <w:t>contempla</w:t>
      </w:r>
      <w:r>
        <w:rPr>
          <w:color w:val="231F20"/>
          <w:spacing w:val="-24"/>
        </w:rPr>
        <w:t> </w:t>
      </w:r>
      <w:r>
        <w:rPr>
          <w:color w:val="231F20"/>
        </w:rPr>
        <w:t>el</w:t>
      </w:r>
      <w:r>
        <w:rPr>
          <w:color w:val="231F20"/>
          <w:spacing w:val="-23"/>
        </w:rPr>
        <w:t> </w:t>
      </w:r>
      <w:r>
        <w:rPr>
          <w:color w:val="231F20"/>
        </w:rPr>
        <w:t>cuestionario</w:t>
      </w:r>
      <w:r>
        <w:rPr>
          <w:color w:val="231F20"/>
          <w:spacing w:val="-23"/>
        </w:rPr>
        <w:t> </w:t>
      </w:r>
      <w:r>
        <w:rPr>
          <w:color w:val="231F20"/>
        </w:rPr>
        <w:t>SCOFF)</w:t>
      </w:r>
      <w:r>
        <w:rPr>
          <w:color w:val="231F20"/>
          <w:spacing w:val="-24"/>
        </w:rPr>
        <w:t> </w:t>
      </w:r>
      <w:r>
        <w:rPr>
          <w:color w:val="231F20"/>
        </w:rPr>
        <w:t>que</w:t>
      </w:r>
      <w:r>
        <w:rPr>
          <w:color w:val="231F20"/>
          <w:spacing w:val="-23"/>
        </w:rPr>
        <w:t> </w:t>
      </w:r>
      <w:r>
        <w:rPr>
          <w:color w:val="231F20"/>
        </w:rPr>
        <w:t>en</w:t>
      </w:r>
      <w:r>
        <w:rPr>
          <w:color w:val="231F20"/>
          <w:spacing w:val="-23"/>
        </w:rPr>
        <w:t> </w:t>
      </w:r>
      <w:r>
        <w:rPr>
          <w:color w:val="231F20"/>
        </w:rPr>
        <w:t>el</w:t>
      </w:r>
      <w:r>
        <w:rPr>
          <w:color w:val="231F20"/>
          <w:spacing w:val="-24"/>
        </w:rPr>
        <w:t> </w:t>
      </w:r>
      <w:r>
        <w:rPr>
          <w:color w:val="231F20"/>
        </w:rPr>
        <w:t>caso del test aplicado explora tanto la de tipo anorexia como la de tipo bulimia; 4 de cada 10 adolescentes tempranos, 43%, presentaron ánimo deprimido según la puntuación alcanzada en el cuestionario PHQ-2 para el tamizaje de depresión en adolescentes (puntaje</w:t>
      </w:r>
      <w:r>
        <w:rPr>
          <w:color w:val="231F20"/>
          <w:spacing w:val="-10"/>
        </w:rPr>
        <w:t> </w:t>
      </w:r>
      <w:r>
        <w:rPr>
          <w:color w:val="231F20"/>
        </w:rPr>
        <w:t>igual</w:t>
      </w:r>
      <w:r>
        <w:rPr>
          <w:color w:val="231F20"/>
          <w:spacing w:val="-10"/>
        </w:rPr>
        <w:t> </w:t>
      </w:r>
      <w:r>
        <w:rPr>
          <w:color w:val="231F20"/>
        </w:rPr>
        <w:t>o</w:t>
      </w:r>
      <w:r>
        <w:rPr>
          <w:color w:val="231F20"/>
          <w:spacing w:val="-10"/>
        </w:rPr>
        <w:t> </w:t>
      </w:r>
      <w:r>
        <w:rPr>
          <w:color w:val="231F20"/>
        </w:rPr>
        <w:t>superior</w:t>
      </w:r>
      <w:r>
        <w:rPr>
          <w:color w:val="231F20"/>
          <w:spacing w:val="-10"/>
        </w:rPr>
        <w:t> </w:t>
      </w:r>
      <w:r>
        <w:rPr>
          <w:color w:val="231F20"/>
        </w:rPr>
        <w:t>a</w:t>
      </w:r>
      <w:r>
        <w:rPr>
          <w:color w:val="231F20"/>
          <w:spacing w:val="-10"/>
        </w:rPr>
        <w:t> </w:t>
      </w:r>
      <w:r>
        <w:rPr>
          <w:color w:val="231F20"/>
        </w:rPr>
        <w:t>3</w:t>
      </w:r>
      <w:r>
        <w:rPr>
          <w:color w:val="231F20"/>
          <w:spacing w:val="-10"/>
        </w:rPr>
        <w:t> </w:t>
      </w:r>
      <w:r>
        <w:rPr>
          <w:color w:val="231F20"/>
        </w:rPr>
        <w:t>puntos)</w:t>
      </w:r>
      <w:r>
        <w:rPr>
          <w:color w:val="231F20"/>
          <w:spacing w:val="-11"/>
        </w:rPr>
        <w:t> </w:t>
      </w:r>
      <w:r>
        <w:rPr>
          <w:color w:val="231F20"/>
        </w:rPr>
        <w:t>en</w:t>
      </w:r>
      <w:r>
        <w:rPr>
          <w:color w:val="231F20"/>
          <w:spacing w:val="-10"/>
        </w:rPr>
        <w:t> </w:t>
      </w:r>
      <w:r>
        <w:rPr>
          <w:color w:val="231F20"/>
        </w:rPr>
        <w:t>las</w:t>
      </w:r>
      <w:r>
        <w:rPr>
          <w:color w:val="231F20"/>
          <w:spacing w:val="-10"/>
        </w:rPr>
        <w:t> </w:t>
      </w:r>
      <w:r>
        <w:rPr>
          <w:color w:val="231F20"/>
        </w:rPr>
        <w:t>dos</w:t>
      </w:r>
      <w:r>
        <w:rPr>
          <w:color w:val="231F20"/>
          <w:spacing w:val="-11"/>
        </w:rPr>
        <w:t> </w:t>
      </w:r>
      <w:r>
        <w:rPr>
          <w:color w:val="231F20"/>
        </w:rPr>
        <w:t>últimas</w:t>
      </w:r>
      <w:r>
        <w:rPr>
          <w:color w:val="231F20"/>
          <w:spacing w:val="-10"/>
        </w:rPr>
        <w:t> </w:t>
      </w:r>
      <w:r>
        <w:rPr>
          <w:color w:val="231F20"/>
        </w:rPr>
        <w:t>semanas</w:t>
      </w:r>
      <w:r>
        <w:rPr>
          <w:color w:val="231F20"/>
          <w:spacing w:val="-10"/>
        </w:rPr>
        <w:t> </w:t>
      </w:r>
      <w:r>
        <w:rPr>
          <w:color w:val="231F20"/>
        </w:rPr>
        <w:t>previa</w:t>
      </w:r>
      <w:r>
        <w:rPr>
          <w:color w:val="231F20"/>
          <w:spacing w:val="-11"/>
        </w:rPr>
        <w:t> </w:t>
      </w:r>
      <w:r>
        <w:rPr>
          <w:color w:val="231F20"/>
        </w:rPr>
        <w:t>a</w:t>
      </w:r>
      <w:r>
        <w:rPr>
          <w:color w:val="231F20"/>
          <w:spacing w:val="-10"/>
        </w:rPr>
        <w:t> </w:t>
      </w:r>
      <w:r>
        <w:rPr>
          <w:color w:val="231F20"/>
        </w:rPr>
        <w:t>la</w:t>
      </w:r>
      <w:r>
        <w:rPr>
          <w:color w:val="231F20"/>
          <w:spacing w:val="-10"/>
        </w:rPr>
        <w:t> </w:t>
      </w:r>
      <w:r>
        <w:rPr>
          <w:color w:val="231F20"/>
        </w:rPr>
        <w:t>aplicación del</w:t>
      </w:r>
      <w:r>
        <w:rPr>
          <w:color w:val="231F20"/>
          <w:spacing w:val="-8"/>
        </w:rPr>
        <w:t> </w:t>
      </w:r>
      <w:r>
        <w:rPr>
          <w:color w:val="231F20"/>
        </w:rPr>
        <w:t>mismo.</w:t>
      </w:r>
      <w:r>
        <w:rPr>
          <w:color w:val="231F20"/>
          <w:spacing w:val="-7"/>
        </w:rPr>
        <w:t> </w:t>
      </w:r>
      <w:r>
        <w:rPr>
          <w:color w:val="231F20"/>
        </w:rPr>
        <w:t>Una</w:t>
      </w:r>
      <w:r>
        <w:rPr>
          <w:color w:val="231F20"/>
          <w:spacing w:val="-8"/>
        </w:rPr>
        <w:t> </w:t>
      </w:r>
      <w:r>
        <w:rPr>
          <w:color w:val="231F20"/>
        </w:rPr>
        <w:t>minoría</w:t>
      </w:r>
      <w:r>
        <w:rPr>
          <w:color w:val="231F20"/>
          <w:spacing w:val="-6"/>
        </w:rPr>
        <w:t> </w:t>
      </w:r>
      <w:r>
        <w:rPr>
          <w:color w:val="231F20"/>
        </w:rPr>
        <w:t>de</w:t>
      </w:r>
      <w:r>
        <w:rPr>
          <w:color w:val="231F20"/>
          <w:spacing w:val="-7"/>
        </w:rPr>
        <w:t> </w:t>
      </w:r>
      <w:r>
        <w:rPr>
          <w:color w:val="231F20"/>
        </w:rPr>
        <w:t>adolescentes</w:t>
      </w:r>
      <w:r>
        <w:rPr>
          <w:color w:val="231F20"/>
          <w:spacing w:val="-7"/>
        </w:rPr>
        <w:t> </w:t>
      </w:r>
      <w:r>
        <w:rPr>
          <w:color w:val="231F20"/>
        </w:rPr>
        <w:t>tempranos,</w:t>
      </w:r>
      <w:r>
        <w:rPr>
          <w:color w:val="231F20"/>
          <w:spacing w:val="-6"/>
        </w:rPr>
        <w:t> </w:t>
      </w:r>
      <w:r>
        <w:rPr>
          <w:color w:val="231F20"/>
        </w:rPr>
        <w:t>3%,</w:t>
      </w:r>
      <w:r>
        <w:rPr>
          <w:color w:val="231F20"/>
          <w:spacing w:val="-7"/>
        </w:rPr>
        <w:t> </w:t>
      </w:r>
      <w:r>
        <w:rPr>
          <w:color w:val="231F20"/>
        </w:rPr>
        <w:t>presentó</w:t>
      </w:r>
      <w:r>
        <w:rPr>
          <w:color w:val="231F20"/>
          <w:spacing w:val="-7"/>
        </w:rPr>
        <w:t> </w:t>
      </w:r>
      <w:r>
        <w:rPr>
          <w:color w:val="231F20"/>
        </w:rPr>
        <w:t>consumo</w:t>
      </w:r>
      <w:r>
        <w:rPr>
          <w:color w:val="231F20"/>
          <w:spacing w:val="-6"/>
        </w:rPr>
        <w:t> </w:t>
      </w:r>
      <w:r>
        <w:rPr>
          <w:color w:val="231F20"/>
        </w:rPr>
        <w:t>riesgoso de</w:t>
      </w:r>
      <w:r>
        <w:rPr>
          <w:color w:val="231F20"/>
          <w:spacing w:val="-10"/>
        </w:rPr>
        <w:t> </w:t>
      </w:r>
      <w:r>
        <w:rPr>
          <w:color w:val="231F20"/>
        </w:rPr>
        <w:t>alcohol</w:t>
      </w:r>
      <w:r>
        <w:rPr>
          <w:color w:val="231F20"/>
          <w:spacing w:val="-10"/>
        </w:rPr>
        <w:t> </w:t>
      </w:r>
      <w:r>
        <w:rPr>
          <w:color w:val="231F20"/>
        </w:rPr>
        <w:t>al</w:t>
      </w:r>
      <w:r>
        <w:rPr>
          <w:color w:val="231F20"/>
          <w:spacing w:val="-10"/>
        </w:rPr>
        <w:t> </w:t>
      </w:r>
      <w:r>
        <w:rPr>
          <w:color w:val="231F20"/>
        </w:rPr>
        <w:t>aplicar</w:t>
      </w:r>
      <w:r>
        <w:rPr>
          <w:color w:val="231F20"/>
          <w:spacing w:val="-9"/>
        </w:rPr>
        <w:t> </w:t>
      </w:r>
      <w:r>
        <w:rPr>
          <w:color w:val="231F20"/>
        </w:rPr>
        <w:t>la</w:t>
      </w:r>
      <w:r>
        <w:rPr>
          <w:color w:val="231F20"/>
          <w:spacing w:val="-10"/>
        </w:rPr>
        <w:t> </w:t>
      </w:r>
      <w:r>
        <w:rPr>
          <w:color w:val="231F20"/>
        </w:rPr>
        <w:t>herramienta</w:t>
      </w:r>
      <w:r>
        <w:rPr>
          <w:color w:val="231F20"/>
          <w:spacing w:val="-22"/>
        </w:rPr>
        <w:t> </w:t>
      </w:r>
      <w:r>
        <w:rPr>
          <w:color w:val="231F20"/>
        </w:rPr>
        <w:t>AUDIT-C</w:t>
      </w:r>
      <w:r>
        <w:rPr>
          <w:color w:val="231F20"/>
          <w:spacing w:val="-10"/>
        </w:rPr>
        <w:t> </w:t>
      </w:r>
      <w:r>
        <w:rPr>
          <w:color w:val="231F20"/>
        </w:rPr>
        <w:t>(puntaje</w:t>
      </w:r>
      <w:r>
        <w:rPr>
          <w:color w:val="231F20"/>
          <w:spacing w:val="-10"/>
        </w:rPr>
        <w:t> </w:t>
      </w:r>
      <w:r>
        <w:rPr>
          <w:color w:val="231F20"/>
        </w:rPr>
        <w:t>de</w:t>
      </w:r>
      <w:r>
        <w:rPr>
          <w:color w:val="231F20"/>
          <w:spacing w:val="-9"/>
        </w:rPr>
        <w:t> </w:t>
      </w:r>
      <w:r>
        <w:rPr>
          <w:color w:val="231F20"/>
        </w:rPr>
        <w:t>4</w:t>
      </w:r>
      <w:r>
        <w:rPr>
          <w:color w:val="231F20"/>
          <w:spacing w:val="-10"/>
        </w:rPr>
        <w:t> </w:t>
      </w:r>
      <w:r>
        <w:rPr>
          <w:color w:val="231F20"/>
        </w:rPr>
        <w:t>o</w:t>
      </w:r>
      <w:r>
        <w:rPr>
          <w:color w:val="231F20"/>
          <w:spacing w:val="-10"/>
        </w:rPr>
        <w:t> </w:t>
      </w:r>
      <w:r>
        <w:rPr>
          <w:color w:val="231F20"/>
        </w:rPr>
        <w:t>más</w:t>
      </w:r>
      <w:r>
        <w:rPr>
          <w:color w:val="231F20"/>
          <w:spacing w:val="-9"/>
        </w:rPr>
        <w:t> </w:t>
      </w:r>
      <w:r>
        <w:rPr>
          <w:color w:val="231F20"/>
        </w:rPr>
        <w:t>en</w:t>
      </w:r>
      <w:r>
        <w:rPr>
          <w:color w:val="231F20"/>
          <w:spacing w:val="-10"/>
        </w:rPr>
        <w:t> </w:t>
      </w:r>
      <w:r>
        <w:rPr>
          <w:color w:val="231F20"/>
        </w:rPr>
        <w:t>hombres</w:t>
      </w:r>
      <w:r>
        <w:rPr>
          <w:color w:val="231F20"/>
          <w:spacing w:val="-10"/>
        </w:rPr>
        <w:t> </w:t>
      </w:r>
      <w:r>
        <w:rPr>
          <w:color w:val="231F20"/>
        </w:rPr>
        <w:t>y</w:t>
      </w:r>
      <w:r>
        <w:rPr>
          <w:color w:val="231F20"/>
          <w:spacing w:val="-10"/>
        </w:rPr>
        <w:t> </w:t>
      </w:r>
      <w:r>
        <w:rPr>
          <w:color w:val="231F20"/>
        </w:rPr>
        <w:t>de</w:t>
      </w:r>
      <w:r>
        <w:rPr>
          <w:color w:val="231F20"/>
          <w:spacing w:val="-9"/>
        </w:rPr>
        <w:t> </w:t>
      </w:r>
      <w:r>
        <w:rPr>
          <w:color w:val="231F20"/>
        </w:rPr>
        <w:t>3</w:t>
      </w:r>
      <w:r>
        <w:rPr>
          <w:color w:val="231F20"/>
          <w:spacing w:val="-10"/>
        </w:rPr>
        <w:t> </w:t>
      </w:r>
      <w:r>
        <w:rPr>
          <w:color w:val="231F20"/>
        </w:rPr>
        <w:t>o más en mujeres, sobre 12 puntos), como se puede observar en la </w:t>
      </w:r>
      <w:r>
        <w:rPr>
          <w:i/>
          <w:color w:val="231F20"/>
        </w:rPr>
        <w:t>Figura</w:t>
      </w:r>
      <w:r>
        <w:rPr>
          <w:i/>
          <w:color w:val="231F20"/>
          <w:spacing w:val="-16"/>
        </w:rPr>
        <w:t> </w:t>
      </w:r>
      <w:r>
        <w:rPr>
          <w:i/>
          <w:color w:val="231F20"/>
        </w:rPr>
        <w:t>3.</w:t>
      </w:r>
    </w:p>
    <w:p>
      <w:pPr>
        <w:pStyle w:val="BodyText"/>
        <w:rPr>
          <w:i/>
          <w:sz w:val="20"/>
        </w:rPr>
      </w:pPr>
    </w:p>
    <w:p>
      <w:pPr>
        <w:pStyle w:val="BodyText"/>
        <w:rPr>
          <w:i/>
          <w:sz w:val="16"/>
        </w:rPr>
      </w:pPr>
      <w:r>
        <w:rPr/>
        <w:drawing>
          <wp:anchor distT="0" distB="0" distL="0" distR="0" allowOverlap="1" layoutInCell="1" locked="0" behindDoc="0" simplePos="0" relativeHeight="5">
            <wp:simplePos x="0" y="0"/>
            <wp:positionH relativeFrom="page">
              <wp:posOffset>899998</wp:posOffset>
            </wp:positionH>
            <wp:positionV relativeFrom="paragraph">
              <wp:posOffset>141917</wp:posOffset>
            </wp:positionV>
            <wp:extent cx="5755906" cy="3291840"/>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5" cstate="print"/>
                    <a:stretch>
                      <a:fillRect/>
                    </a:stretch>
                  </pic:blipFill>
                  <pic:spPr>
                    <a:xfrm>
                      <a:off x="0" y="0"/>
                      <a:ext cx="5755906" cy="3291840"/>
                    </a:xfrm>
                    <a:prstGeom prst="rect">
                      <a:avLst/>
                    </a:prstGeom>
                  </pic:spPr>
                </pic:pic>
              </a:graphicData>
            </a:graphic>
          </wp:anchor>
        </w:drawing>
      </w:r>
    </w:p>
    <w:p>
      <w:pPr>
        <w:pStyle w:val="Heading3"/>
        <w:spacing w:before="35"/>
        <w:ind w:left="657" w:right="0"/>
        <w:jc w:val="left"/>
      </w:pPr>
      <w:r>
        <w:rPr>
          <w:color w:val="231F20"/>
        </w:rPr>
        <w:t>Figura 1. Características sociodemográficas adolescentes tempranos.</w:t>
      </w:r>
    </w:p>
    <w:p>
      <w:pPr>
        <w:spacing w:after="0"/>
        <w:jc w:val="left"/>
        <w:sectPr>
          <w:pgSz w:w="11910" w:h="16840"/>
          <w:pgMar w:header="581" w:footer="1333" w:top="1240" w:bottom="1520" w:left="1300" w:right="1300"/>
        </w:sectPr>
      </w:pPr>
    </w:p>
    <w:p>
      <w:pPr>
        <w:pStyle w:val="BodyText"/>
        <w:spacing w:before="6"/>
        <w:rPr>
          <w:b/>
          <w:sz w:val="29"/>
        </w:rPr>
      </w:pPr>
    </w:p>
    <w:p>
      <w:pPr>
        <w:pStyle w:val="BodyText"/>
        <w:ind w:left="1106"/>
        <w:rPr>
          <w:sz w:val="20"/>
        </w:rPr>
      </w:pPr>
      <w:r>
        <w:rPr>
          <w:sz w:val="20"/>
        </w:rPr>
        <w:drawing>
          <wp:inline distT="0" distB="0" distL="0" distR="0">
            <wp:extent cx="4693920" cy="2757678"/>
            <wp:effectExtent l="0" t="0" r="0" b="0"/>
            <wp:docPr id="5" name="image4.jpeg"/>
            <wp:cNvGraphicFramePr>
              <a:graphicFrameLocks noChangeAspect="1"/>
            </wp:cNvGraphicFramePr>
            <a:graphic>
              <a:graphicData uri="http://schemas.openxmlformats.org/drawingml/2006/picture">
                <pic:pic>
                  <pic:nvPicPr>
                    <pic:cNvPr id="6" name="image4.jpeg"/>
                    <pic:cNvPicPr/>
                  </pic:nvPicPr>
                  <pic:blipFill>
                    <a:blip r:embed="rId16" cstate="print"/>
                    <a:stretch>
                      <a:fillRect/>
                    </a:stretch>
                  </pic:blipFill>
                  <pic:spPr>
                    <a:xfrm>
                      <a:off x="0" y="0"/>
                      <a:ext cx="4693920" cy="2757678"/>
                    </a:xfrm>
                    <a:prstGeom prst="rect">
                      <a:avLst/>
                    </a:prstGeom>
                  </pic:spPr>
                </pic:pic>
              </a:graphicData>
            </a:graphic>
          </wp:inline>
        </w:drawing>
      </w:r>
      <w:r>
        <w:rPr>
          <w:sz w:val="20"/>
        </w:rPr>
      </w:r>
    </w:p>
    <w:p>
      <w:pPr>
        <w:spacing w:before="85"/>
        <w:ind w:left="466" w:right="0" w:firstLine="0"/>
        <w:jc w:val="left"/>
        <w:rPr>
          <w:b/>
          <w:sz w:val="24"/>
        </w:rPr>
      </w:pPr>
      <w:r>
        <w:rPr>
          <w:b/>
          <w:color w:val="231F20"/>
          <w:sz w:val="24"/>
        </w:rPr>
        <w:t>Figura 2. Percepción de funcionalidad familiar por adolescentes tempranos.</w:t>
      </w:r>
    </w:p>
    <w:p>
      <w:pPr>
        <w:pStyle w:val="BodyText"/>
        <w:ind w:left="268"/>
        <w:rPr>
          <w:sz w:val="20"/>
        </w:rPr>
      </w:pPr>
      <w:r>
        <w:rPr>
          <w:sz w:val="20"/>
        </w:rPr>
        <w:drawing>
          <wp:inline distT="0" distB="0" distL="0" distR="0">
            <wp:extent cx="5669966" cy="3703320"/>
            <wp:effectExtent l="0" t="0" r="0" b="0"/>
            <wp:docPr id="7" name="image5.jpeg"/>
            <wp:cNvGraphicFramePr>
              <a:graphicFrameLocks noChangeAspect="1"/>
            </wp:cNvGraphicFramePr>
            <a:graphic>
              <a:graphicData uri="http://schemas.openxmlformats.org/drawingml/2006/picture">
                <pic:pic>
                  <pic:nvPicPr>
                    <pic:cNvPr id="8" name="image5.jpeg"/>
                    <pic:cNvPicPr/>
                  </pic:nvPicPr>
                  <pic:blipFill>
                    <a:blip r:embed="rId17" cstate="print"/>
                    <a:stretch>
                      <a:fillRect/>
                    </a:stretch>
                  </pic:blipFill>
                  <pic:spPr>
                    <a:xfrm>
                      <a:off x="0" y="0"/>
                      <a:ext cx="5669966" cy="3703320"/>
                    </a:xfrm>
                    <a:prstGeom prst="rect">
                      <a:avLst/>
                    </a:prstGeom>
                  </pic:spPr>
                </pic:pic>
              </a:graphicData>
            </a:graphic>
          </wp:inline>
        </w:drawing>
      </w:r>
      <w:r>
        <w:rPr>
          <w:sz w:val="20"/>
        </w:rPr>
      </w:r>
    </w:p>
    <w:p>
      <w:pPr>
        <w:spacing w:before="152"/>
        <w:ind w:left="182" w:right="183" w:firstLine="0"/>
        <w:jc w:val="center"/>
        <w:rPr>
          <w:b/>
          <w:sz w:val="24"/>
        </w:rPr>
      </w:pPr>
      <w:r>
        <w:rPr>
          <w:b/>
          <w:color w:val="231F20"/>
          <w:sz w:val="24"/>
        </w:rPr>
        <w:t>Figura 3. Tamizaje conductual adolescentes tempranos.</w:t>
      </w:r>
    </w:p>
    <w:p>
      <w:pPr>
        <w:pStyle w:val="BodyText"/>
        <w:spacing w:before="6"/>
        <w:rPr>
          <w:b/>
          <w:sz w:val="26"/>
        </w:rPr>
      </w:pPr>
    </w:p>
    <w:p>
      <w:pPr>
        <w:spacing w:before="1"/>
        <w:ind w:left="0" w:right="115" w:firstLine="0"/>
        <w:jc w:val="right"/>
        <w:rPr>
          <w:b/>
          <w:sz w:val="26"/>
        </w:rPr>
      </w:pPr>
      <w:r>
        <w:rPr>
          <w:b/>
          <w:color w:val="D2232A"/>
          <w:spacing w:val="-2"/>
          <w:sz w:val="26"/>
        </w:rPr>
        <w:t>DISCUSIÓN</w:t>
      </w:r>
    </w:p>
    <w:p>
      <w:pPr>
        <w:pStyle w:val="BodyText"/>
        <w:spacing w:before="8"/>
        <w:rPr>
          <w:b/>
          <w:sz w:val="25"/>
        </w:rPr>
      </w:pPr>
    </w:p>
    <w:p>
      <w:pPr>
        <w:pStyle w:val="BodyText"/>
        <w:spacing w:line="249" w:lineRule="auto"/>
        <w:ind w:left="117" w:right="115" w:firstLine="283"/>
        <w:jc w:val="both"/>
      </w:pPr>
      <w:r>
        <w:rPr>
          <w:color w:val="231F20"/>
        </w:rPr>
        <w:t>Según UNICEF-Ecuador en cuanto a la situación de la niñez y adolescencia y    en base a los datos del censo 2010 la población total estimada de niños, niñas y adolescentes para el Ecuador en el 2015 fue cerca de 6 millones (13), es decir el 36% de la población total, donde el 20,5% de la población es adolescente y de estos el</w:t>
      </w:r>
      <w:r>
        <w:rPr>
          <w:color w:val="231F20"/>
          <w:spacing w:val="14"/>
        </w:rPr>
        <w:t> </w:t>
      </w:r>
      <w:r>
        <w:rPr>
          <w:color w:val="231F20"/>
        </w:rPr>
        <w:t>10,6%</w:t>
      </w:r>
      <w:r>
        <w:rPr>
          <w:color w:val="231F20"/>
          <w:spacing w:val="15"/>
        </w:rPr>
        <w:t> </w:t>
      </w:r>
      <w:r>
        <w:rPr>
          <w:color w:val="231F20"/>
        </w:rPr>
        <w:t>son</w:t>
      </w:r>
      <w:r>
        <w:rPr>
          <w:color w:val="231F20"/>
          <w:spacing w:val="15"/>
        </w:rPr>
        <w:t> </w:t>
      </w:r>
      <w:r>
        <w:rPr>
          <w:color w:val="231F20"/>
        </w:rPr>
        <w:t>adolescentes</w:t>
      </w:r>
      <w:r>
        <w:rPr>
          <w:color w:val="231F20"/>
          <w:spacing w:val="14"/>
        </w:rPr>
        <w:t> </w:t>
      </w:r>
      <w:r>
        <w:rPr>
          <w:color w:val="231F20"/>
        </w:rPr>
        <w:t>tempranos</w:t>
      </w:r>
      <w:r>
        <w:rPr>
          <w:color w:val="231F20"/>
          <w:spacing w:val="15"/>
        </w:rPr>
        <w:t> </w:t>
      </w:r>
      <w:r>
        <w:rPr>
          <w:color w:val="231F20"/>
        </w:rPr>
        <w:t>de</w:t>
      </w:r>
      <w:r>
        <w:rPr>
          <w:color w:val="231F20"/>
          <w:spacing w:val="15"/>
        </w:rPr>
        <w:t> </w:t>
      </w:r>
      <w:r>
        <w:rPr>
          <w:color w:val="231F20"/>
        </w:rPr>
        <w:t>10</w:t>
      </w:r>
      <w:r>
        <w:rPr>
          <w:color w:val="231F20"/>
          <w:spacing w:val="14"/>
        </w:rPr>
        <w:t> </w:t>
      </w:r>
      <w:r>
        <w:rPr>
          <w:color w:val="231F20"/>
        </w:rPr>
        <w:t>a</w:t>
      </w:r>
      <w:r>
        <w:rPr>
          <w:color w:val="231F20"/>
          <w:spacing w:val="15"/>
        </w:rPr>
        <w:t> </w:t>
      </w:r>
      <w:r>
        <w:rPr>
          <w:color w:val="231F20"/>
        </w:rPr>
        <w:t>14</w:t>
      </w:r>
      <w:r>
        <w:rPr>
          <w:color w:val="231F20"/>
          <w:spacing w:val="15"/>
        </w:rPr>
        <w:t> </w:t>
      </w:r>
      <w:r>
        <w:rPr>
          <w:color w:val="231F20"/>
        </w:rPr>
        <w:t>años,</w:t>
      </w:r>
      <w:r>
        <w:rPr>
          <w:color w:val="231F20"/>
          <w:spacing w:val="14"/>
        </w:rPr>
        <w:t> </w:t>
      </w:r>
      <w:r>
        <w:rPr>
          <w:color w:val="231F20"/>
        </w:rPr>
        <w:t>llegando</w:t>
      </w:r>
      <w:r>
        <w:rPr>
          <w:color w:val="231F20"/>
          <w:spacing w:val="15"/>
        </w:rPr>
        <w:t> </w:t>
      </w:r>
      <w:r>
        <w:rPr>
          <w:color w:val="231F20"/>
        </w:rPr>
        <w:t>a</w:t>
      </w:r>
      <w:r>
        <w:rPr>
          <w:color w:val="231F20"/>
          <w:spacing w:val="15"/>
        </w:rPr>
        <w:t> </w:t>
      </w:r>
      <w:r>
        <w:rPr>
          <w:color w:val="231F20"/>
        </w:rPr>
        <w:t>1</w:t>
      </w:r>
      <w:r>
        <w:rPr>
          <w:color w:val="231F20"/>
          <w:spacing w:val="14"/>
        </w:rPr>
        <w:t> </w:t>
      </w:r>
      <w:r>
        <w:rPr>
          <w:color w:val="231F20"/>
        </w:rPr>
        <w:t>539</w:t>
      </w:r>
      <w:r>
        <w:rPr>
          <w:color w:val="231F20"/>
          <w:spacing w:val="15"/>
        </w:rPr>
        <w:t> </w:t>
      </w:r>
      <w:r>
        <w:rPr>
          <w:color w:val="231F20"/>
        </w:rPr>
        <w:t>342,</w:t>
      </w:r>
      <w:r>
        <w:rPr>
          <w:color w:val="231F20"/>
          <w:spacing w:val="15"/>
        </w:rPr>
        <w:t> </w:t>
      </w:r>
      <w:r>
        <w:rPr>
          <w:color w:val="231F20"/>
          <w:spacing w:val="-9"/>
        </w:rPr>
        <w:t>y,</w:t>
      </w:r>
      <w:r>
        <w:rPr>
          <w:color w:val="231F20"/>
          <w:spacing w:val="15"/>
        </w:rPr>
        <w:t> </w:t>
      </w:r>
      <w:r>
        <w:rPr>
          <w:color w:val="231F20"/>
        </w:rPr>
        <w:t>el</w:t>
      </w:r>
    </w:p>
    <w:p>
      <w:pPr>
        <w:pStyle w:val="BodyText"/>
        <w:spacing w:before="5"/>
        <w:ind w:left="117"/>
        <w:jc w:val="both"/>
      </w:pPr>
      <w:r>
        <w:rPr>
          <w:color w:val="231F20"/>
        </w:rPr>
        <w:t>49% mujeres y 51% hombres, el 8.3% es indígena, el 7.5% afroecuatoriana, el</w:t>
      </w:r>
      <w:r>
        <w:rPr>
          <w:color w:val="231F20"/>
          <w:spacing w:val="44"/>
        </w:rPr>
        <w:t> </w:t>
      </w:r>
      <w:r>
        <w:rPr>
          <w:color w:val="231F20"/>
        </w:rPr>
        <w:t>6.7%</w:t>
      </w:r>
    </w:p>
    <w:p>
      <w:pPr>
        <w:spacing w:after="0"/>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5"/>
        <w:jc w:val="both"/>
      </w:pPr>
      <w:r>
        <w:rPr>
          <w:color w:val="231F20"/>
        </w:rPr>
        <w:t>montubia, 71% es mestiza y el 5.8 blanca (1). Datos estos que son muy similares     a los encontrados en el presente trabajo evidenciando que el comportamiento sociodemográfico del grupo de estudio en la ciudad de Ibarra reproduce la dinámica nacional,</w:t>
      </w:r>
      <w:r>
        <w:rPr>
          <w:color w:val="231F20"/>
          <w:spacing w:val="-8"/>
        </w:rPr>
        <w:t> </w:t>
      </w:r>
      <w:r>
        <w:rPr>
          <w:color w:val="231F20"/>
        </w:rPr>
        <w:t>siendo</w:t>
      </w:r>
      <w:r>
        <w:rPr>
          <w:color w:val="231F20"/>
          <w:spacing w:val="-7"/>
        </w:rPr>
        <w:t> </w:t>
      </w:r>
      <w:r>
        <w:rPr>
          <w:color w:val="231F20"/>
        </w:rPr>
        <w:t>este</w:t>
      </w:r>
      <w:r>
        <w:rPr>
          <w:color w:val="231F20"/>
          <w:spacing w:val="-7"/>
        </w:rPr>
        <w:t> </w:t>
      </w:r>
      <w:r>
        <w:rPr>
          <w:color w:val="231F20"/>
        </w:rPr>
        <w:t>gran</w:t>
      </w:r>
      <w:r>
        <w:rPr>
          <w:color w:val="231F20"/>
          <w:spacing w:val="-7"/>
        </w:rPr>
        <w:t> </w:t>
      </w:r>
      <w:r>
        <w:rPr>
          <w:color w:val="231F20"/>
        </w:rPr>
        <w:t>grupo</w:t>
      </w:r>
      <w:r>
        <w:rPr>
          <w:color w:val="231F20"/>
          <w:spacing w:val="-7"/>
        </w:rPr>
        <w:t> </w:t>
      </w:r>
      <w:r>
        <w:rPr>
          <w:color w:val="231F20"/>
        </w:rPr>
        <w:t>humano</w:t>
      </w:r>
      <w:r>
        <w:rPr>
          <w:color w:val="231F20"/>
          <w:spacing w:val="-7"/>
        </w:rPr>
        <w:t> </w:t>
      </w:r>
      <w:r>
        <w:rPr>
          <w:color w:val="231F20"/>
        </w:rPr>
        <w:t>una</w:t>
      </w:r>
      <w:r>
        <w:rPr>
          <w:color w:val="231F20"/>
          <w:spacing w:val="-7"/>
        </w:rPr>
        <w:t> </w:t>
      </w:r>
      <w:r>
        <w:rPr>
          <w:color w:val="231F20"/>
        </w:rPr>
        <w:t>masa</w:t>
      </w:r>
      <w:r>
        <w:rPr>
          <w:color w:val="231F20"/>
          <w:spacing w:val="-7"/>
        </w:rPr>
        <w:t> </w:t>
      </w:r>
      <w:r>
        <w:rPr>
          <w:color w:val="231F20"/>
        </w:rPr>
        <w:t>crítica</w:t>
      </w:r>
      <w:r>
        <w:rPr>
          <w:color w:val="231F20"/>
          <w:spacing w:val="-7"/>
        </w:rPr>
        <w:t> </w:t>
      </w:r>
      <w:r>
        <w:rPr>
          <w:color w:val="231F20"/>
        </w:rPr>
        <w:t>y</w:t>
      </w:r>
      <w:r>
        <w:rPr>
          <w:color w:val="231F20"/>
          <w:spacing w:val="-7"/>
        </w:rPr>
        <w:t> </w:t>
      </w:r>
      <w:r>
        <w:rPr>
          <w:color w:val="231F20"/>
        </w:rPr>
        <w:t>potencial</w:t>
      </w:r>
      <w:r>
        <w:rPr>
          <w:color w:val="231F20"/>
          <w:spacing w:val="-7"/>
        </w:rPr>
        <w:t> </w:t>
      </w:r>
      <w:r>
        <w:rPr>
          <w:color w:val="231F20"/>
        </w:rPr>
        <w:t>de</w:t>
      </w:r>
      <w:r>
        <w:rPr>
          <w:color w:val="231F20"/>
          <w:spacing w:val="-7"/>
        </w:rPr>
        <w:t> </w:t>
      </w:r>
      <w:r>
        <w:rPr>
          <w:color w:val="231F20"/>
        </w:rPr>
        <w:t>desarrollo</w:t>
      </w:r>
      <w:r>
        <w:rPr>
          <w:color w:val="231F20"/>
          <w:spacing w:val="-7"/>
        </w:rPr>
        <w:t> </w:t>
      </w:r>
      <w:r>
        <w:rPr>
          <w:color w:val="231F20"/>
        </w:rPr>
        <w:t>o de perpetuidad del subdesarrollo del país, dependiendo de las políticas públicas y la calidad, asertividad y eficacia de las intervenciones multisectoriales que entre estado y sociedad se ejecuten considerando el contexto global y los contextos particulares locales socioculturales</w:t>
      </w:r>
      <w:r>
        <w:rPr>
          <w:color w:val="231F20"/>
          <w:spacing w:val="-2"/>
        </w:rPr>
        <w:t> </w:t>
      </w:r>
      <w:r>
        <w:rPr>
          <w:color w:val="231F20"/>
        </w:rPr>
        <w:t>(15).</w:t>
      </w:r>
    </w:p>
    <w:p>
      <w:pPr>
        <w:pStyle w:val="BodyText"/>
        <w:spacing w:before="8"/>
        <w:rPr>
          <w:sz w:val="25"/>
        </w:rPr>
      </w:pPr>
    </w:p>
    <w:p>
      <w:pPr>
        <w:pStyle w:val="BodyText"/>
        <w:spacing w:line="249" w:lineRule="auto"/>
        <w:ind w:left="117" w:right="113" w:firstLine="283"/>
        <w:jc w:val="both"/>
      </w:pPr>
      <w:r>
        <w:rPr>
          <w:color w:val="231F20"/>
        </w:rPr>
        <w:t>En cuanto a la funcionalidad familiar vemos que la mayoría de los adolescentes la perciben como adecuada, sin embargo 7 de cada 10 de ellos presentan ya trastorno de conducta alimentaria, 4 de cada 10 presentan ánimo deprimido, y 3 de cada 10 consumo riesgoso de alcohol; cifras que aunque reflejan frecuencias de presentación desde</w:t>
      </w:r>
      <w:r>
        <w:rPr>
          <w:color w:val="231F20"/>
          <w:spacing w:val="-21"/>
        </w:rPr>
        <w:t> </w:t>
      </w:r>
      <w:r>
        <w:rPr>
          <w:color w:val="231F20"/>
        </w:rPr>
        <w:t>un</w:t>
      </w:r>
      <w:r>
        <w:rPr>
          <w:color w:val="231F20"/>
          <w:spacing w:val="-20"/>
        </w:rPr>
        <w:t> </w:t>
      </w:r>
      <w:r>
        <w:rPr>
          <w:color w:val="231F20"/>
        </w:rPr>
        <w:t>análisis</w:t>
      </w:r>
      <w:r>
        <w:rPr>
          <w:color w:val="231F20"/>
          <w:spacing w:val="-20"/>
        </w:rPr>
        <w:t> </w:t>
      </w:r>
      <w:r>
        <w:rPr>
          <w:color w:val="231F20"/>
        </w:rPr>
        <w:t>descriptivo,</w:t>
      </w:r>
      <w:r>
        <w:rPr>
          <w:color w:val="231F20"/>
          <w:spacing w:val="-20"/>
        </w:rPr>
        <w:t> </w:t>
      </w:r>
      <w:r>
        <w:rPr>
          <w:color w:val="231F20"/>
        </w:rPr>
        <w:t>y</w:t>
      </w:r>
      <w:r>
        <w:rPr>
          <w:color w:val="231F20"/>
          <w:spacing w:val="-20"/>
        </w:rPr>
        <w:t> </w:t>
      </w:r>
      <w:r>
        <w:rPr>
          <w:color w:val="231F20"/>
        </w:rPr>
        <w:t>no</w:t>
      </w:r>
      <w:r>
        <w:rPr>
          <w:color w:val="231F20"/>
          <w:spacing w:val="-20"/>
        </w:rPr>
        <w:t> </w:t>
      </w:r>
      <w:r>
        <w:rPr>
          <w:color w:val="231F20"/>
        </w:rPr>
        <w:t>una</w:t>
      </w:r>
      <w:r>
        <w:rPr>
          <w:color w:val="231F20"/>
          <w:spacing w:val="-20"/>
        </w:rPr>
        <w:t> </w:t>
      </w:r>
      <w:r>
        <w:rPr>
          <w:color w:val="231F20"/>
        </w:rPr>
        <w:t>correlación</w:t>
      </w:r>
      <w:r>
        <w:rPr>
          <w:color w:val="231F20"/>
          <w:spacing w:val="-21"/>
        </w:rPr>
        <w:t> </w:t>
      </w:r>
      <w:r>
        <w:rPr>
          <w:color w:val="231F20"/>
        </w:rPr>
        <w:t>directa,</w:t>
      </w:r>
      <w:r>
        <w:rPr>
          <w:color w:val="231F20"/>
          <w:spacing w:val="-20"/>
        </w:rPr>
        <w:t> </w:t>
      </w:r>
      <w:r>
        <w:rPr>
          <w:color w:val="231F20"/>
        </w:rPr>
        <w:t>no</w:t>
      </w:r>
      <w:r>
        <w:rPr>
          <w:color w:val="231F20"/>
          <w:spacing w:val="-20"/>
        </w:rPr>
        <w:t> </w:t>
      </w:r>
      <w:r>
        <w:rPr>
          <w:color w:val="231F20"/>
        </w:rPr>
        <w:t>subestima</w:t>
      </w:r>
      <w:r>
        <w:rPr>
          <w:color w:val="231F20"/>
          <w:spacing w:val="-20"/>
        </w:rPr>
        <w:t> </w:t>
      </w:r>
      <w:r>
        <w:rPr>
          <w:color w:val="231F20"/>
        </w:rPr>
        <w:t>la</w:t>
      </w:r>
      <w:r>
        <w:rPr>
          <w:color w:val="231F20"/>
          <w:spacing w:val="-20"/>
        </w:rPr>
        <w:t> </w:t>
      </w:r>
      <w:r>
        <w:rPr>
          <w:color w:val="231F20"/>
        </w:rPr>
        <w:t>importancia del contexto familiar en la formación y desarrollo integral del adolescente, así como nos lleva a explorar otros espacios donde interactúan a veces con mayor fuerza y referencia que sus hogares, como el barrio y la escuela (15); esta reflexión se ve reforzada por un estudio español donde se analiza la influencia de la familia y los barrios en las conductas de riesgo de los adolescentes, y manifiesta que aquellos  de familias mejor estructuradas y funcionales mostraron el menor consumo en las sustancias adictivas, contrario a un mayor consumo en aquellos de familias menos funcionales y de barrios percibidos por ellos como de riesgo (16). Es preocupante la alta frecuencia (71%) de trastornos de la conducta alimentaria encontrada entre los adolescentes tempranos de este estudio, que al decir del Instituto de Ciencias de la Conducta en España la dieta, el ejercicio y la imagen son elementos clave que en el grupo de adolescentes se presentan altamente relacionados con la imitación (17), y estos</w:t>
      </w:r>
      <w:r>
        <w:rPr>
          <w:color w:val="231F20"/>
          <w:spacing w:val="-16"/>
        </w:rPr>
        <w:t> </w:t>
      </w:r>
      <w:r>
        <w:rPr>
          <w:color w:val="231F20"/>
        </w:rPr>
        <w:t>son</w:t>
      </w:r>
      <w:r>
        <w:rPr>
          <w:color w:val="231F20"/>
          <w:spacing w:val="-15"/>
        </w:rPr>
        <w:t> </w:t>
      </w:r>
      <w:r>
        <w:rPr>
          <w:color w:val="231F20"/>
        </w:rPr>
        <w:t>a</w:t>
      </w:r>
      <w:r>
        <w:rPr>
          <w:color w:val="231F20"/>
          <w:spacing w:val="-15"/>
        </w:rPr>
        <w:t> </w:t>
      </w:r>
      <w:r>
        <w:rPr>
          <w:color w:val="231F20"/>
        </w:rPr>
        <w:t>la</w:t>
      </w:r>
      <w:r>
        <w:rPr>
          <w:color w:val="231F20"/>
          <w:spacing w:val="-15"/>
        </w:rPr>
        <w:t> </w:t>
      </w:r>
      <w:r>
        <w:rPr>
          <w:color w:val="231F20"/>
        </w:rPr>
        <w:t>vez</w:t>
      </w:r>
      <w:r>
        <w:rPr>
          <w:color w:val="231F20"/>
          <w:spacing w:val="-15"/>
        </w:rPr>
        <w:t> </w:t>
      </w:r>
      <w:r>
        <w:rPr>
          <w:color w:val="231F20"/>
        </w:rPr>
        <w:t>causa</w:t>
      </w:r>
      <w:r>
        <w:rPr>
          <w:color w:val="231F20"/>
          <w:spacing w:val="-15"/>
        </w:rPr>
        <w:t> </w:t>
      </w:r>
      <w:r>
        <w:rPr>
          <w:color w:val="231F20"/>
        </w:rPr>
        <w:t>de</w:t>
      </w:r>
      <w:r>
        <w:rPr>
          <w:color w:val="231F20"/>
          <w:spacing w:val="-16"/>
        </w:rPr>
        <w:t> </w:t>
      </w:r>
      <w:r>
        <w:rPr>
          <w:color w:val="231F20"/>
        </w:rPr>
        <w:t>maltrato</w:t>
      </w:r>
      <w:r>
        <w:rPr>
          <w:color w:val="231F20"/>
          <w:spacing w:val="-15"/>
        </w:rPr>
        <w:t> </w:t>
      </w:r>
      <w:r>
        <w:rPr>
          <w:color w:val="231F20"/>
        </w:rPr>
        <w:t>escolar</w:t>
      </w:r>
      <w:r>
        <w:rPr>
          <w:color w:val="231F20"/>
          <w:spacing w:val="-15"/>
        </w:rPr>
        <w:t> </w:t>
      </w:r>
      <w:r>
        <w:rPr>
          <w:color w:val="231F20"/>
        </w:rPr>
        <w:t>por</w:t>
      </w:r>
      <w:r>
        <w:rPr>
          <w:color w:val="231F20"/>
          <w:spacing w:val="-15"/>
        </w:rPr>
        <w:t> </w:t>
      </w:r>
      <w:r>
        <w:rPr>
          <w:color w:val="231F20"/>
        </w:rPr>
        <w:t>sus</w:t>
      </w:r>
      <w:r>
        <w:rPr>
          <w:color w:val="231F20"/>
          <w:spacing w:val="-15"/>
        </w:rPr>
        <w:t> </w:t>
      </w:r>
      <w:r>
        <w:rPr>
          <w:color w:val="231F20"/>
        </w:rPr>
        <w:t>pares</w:t>
      </w:r>
      <w:r>
        <w:rPr>
          <w:color w:val="231F20"/>
          <w:spacing w:val="-15"/>
        </w:rPr>
        <w:t> </w:t>
      </w:r>
      <w:r>
        <w:rPr>
          <w:color w:val="231F20"/>
        </w:rPr>
        <w:t>(18,19).</w:t>
      </w:r>
      <w:r>
        <w:rPr>
          <w:color w:val="231F20"/>
          <w:spacing w:val="-28"/>
        </w:rPr>
        <w:t> </w:t>
      </w:r>
      <w:r>
        <w:rPr>
          <w:color w:val="231F20"/>
        </w:rPr>
        <w:t>Aunque</w:t>
      </w:r>
      <w:r>
        <w:rPr>
          <w:color w:val="231F20"/>
          <w:spacing w:val="-16"/>
        </w:rPr>
        <w:t> </w:t>
      </w:r>
      <w:r>
        <w:rPr>
          <w:color w:val="231F20"/>
        </w:rPr>
        <w:t>con</w:t>
      </w:r>
      <w:r>
        <w:rPr>
          <w:color w:val="231F20"/>
          <w:spacing w:val="-15"/>
        </w:rPr>
        <w:t> </w:t>
      </w:r>
      <w:r>
        <w:rPr>
          <w:color w:val="231F20"/>
        </w:rPr>
        <w:t>menos frecuencia de presentación, 43%, no es menos preocupante la presencia de ánimo deprimido ya en este grupo de menores de 15 años, condición que constituye en problema</w:t>
      </w:r>
      <w:r>
        <w:rPr>
          <w:color w:val="231F20"/>
          <w:spacing w:val="-14"/>
        </w:rPr>
        <w:t> </w:t>
      </w:r>
      <w:r>
        <w:rPr>
          <w:color w:val="231F20"/>
        </w:rPr>
        <w:t>oculto</w:t>
      </w:r>
      <w:r>
        <w:rPr>
          <w:color w:val="231F20"/>
          <w:spacing w:val="-14"/>
        </w:rPr>
        <w:t> </w:t>
      </w:r>
      <w:r>
        <w:rPr>
          <w:color w:val="231F20"/>
        </w:rPr>
        <w:t>para</w:t>
      </w:r>
      <w:r>
        <w:rPr>
          <w:color w:val="231F20"/>
          <w:spacing w:val="-14"/>
        </w:rPr>
        <w:t> </w:t>
      </w:r>
      <w:r>
        <w:rPr>
          <w:color w:val="231F20"/>
        </w:rPr>
        <w:t>la</w:t>
      </w:r>
      <w:r>
        <w:rPr>
          <w:color w:val="231F20"/>
          <w:spacing w:val="-14"/>
        </w:rPr>
        <w:t> </w:t>
      </w:r>
      <w:r>
        <w:rPr>
          <w:color w:val="231F20"/>
        </w:rPr>
        <w:t>salud</w:t>
      </w:r>
      <w:r>
        <w:rPr>
          <w:color w:val="231F20"/>
          <w:spacing w:val="-14"/>
        </w:rPr>
        <w:t> </w:t>
      </w:r>
      <w:r>
        <w:rPr>
          <w:color w:val="231F20"/>
        </w:rPr>
        <w:t>pública</w:t>
      </w:r>
      <w:r>
        <w:rPr>
          <w:color w:val="231F20"/>
          <w:spacing w:val="-14"/>
        </w:rPr>
        <w:t> </w:t>
      </w:r>
      <w:r>
        <w:rPr>
          <w:color w:val="231F20"/>
        </w:rPr>
        <w:t>(20)</w:t>
      </w:r>
      <w:r>
        <w:rPr>
          <w:color w:val="231F20"/>
          <w:spacing w:val="-14"/>
        </w:rPr>
        <w:t> </w:t>
      </w:r>
      <w:r>
        <w:rPr>
          <w:color w:val="231F20"/>
        </w:rPr>
        <w:t>y</w:t>
      </w:r>
      <w:r>
        <w:rPr>
          <w:color w:val="231F20"/>
          <w:spacing w:val="-14"/>
        </w:rPr>
        <w:t> </w:t>
      </w:r>
      <w:r>
        <w:rPr>
          <w:color w:val="231F20"/>
        </w:rPr>
        <w:t>que</w:t>
      </w:r>
      <w:r>
        <w:rPr>
          <w:color w:val="231F20"/>
          <w:spacing w:val="-14"/>
        </w:rPr>
        <w:t> </w:t>
      </w:r>
      <w:r>
        <w:rPr>
          <w:color w:val="231F20"/>
        </w:rPr>
        <w:t>sumado</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necesidad</w:t>
      </w:r>
      <w:r>
        <w:rPr>
          <w:color w:val="231F20"/>
          <w:spacing w:val="-13"/>
        </w:rPr>
        <w:t> </w:t>
      </w:r>
      <w:r>
        <w:rPr>
          <w:color w:val="231F20"/>
        </w:rPr>
        <w:t>de</w:t>
      </w:r>
      <w:r>
        <w:rPr>
          <w:color w:val="231F20"/>
          <w:spacing w:val="-14"/>
        </w:rPr>
        <w:t> </w:t>
      </w:r>
      <w:r>
        <w:rPr>
          <w:color w:val="231F20"/>
        </w:rPr>
        <w:t>aceptación de la imagen (17) pueden llevar a problemas más serios a corto o mediano plazo desde la autolisis en diferentes niveles hasta el suicidio</w:t>
      </w:r>
      <w:r>
        <w:rPr>
          <w:color w:val="231F20"/>
          <w:spacing w:val="-15"/>
        </w:rPr>
        <w:t> </w:t>
      </w:r>
      <w:r>
        <w:rPr>
          <w:color w:val="231F20"/>
        </w:rPr>
        <w:t>(21).</w:t>
      </w:r>
    </w:p>
    <w:p>
      <w:pPr>
        <w:pStyle w:val="BodyText"/>
        <w:spacing w:before="6"/>
        <w:rPr>
          <w:sz w:val="27"/>
        </w:rPr>
      </w:pPr>
    </w:p>
    <w:p>
      <w:pPr>
        <w:pStyle w:val="Heading2"/>
        <w:ind w:left="4083" w:right="0"/>
        <w:jc w:val="left"/>
      </w:pPr>
      <w:r>
        <w:rPr>
          <w:color w:val="D2232A"/>
        </w:rPr>
        <w:t>CONCLUSIONES Y RECOMENDACIONES</w:t>
      </w:r>
    </w:p>
    <w:p>
      <w:pPr>
        <w:pStyle w:val="BodyText"/>
        <w:spacing w:before="8"/>
        <w:rPr>
          <w:b/>
          <w:sz w:val="25"/>
        </w:rPr>
      </w:pPr>
    </w:p>
    <w:p>
      <w:pPr>
        <w:pStyle w:val="BodyText"/>
        <w:spacing w:line="249" w:lineRule="auto"/>
        <w:ind w:left="117" w:right="115" w:firstLine="283"/>
        <w:jc w:val="both"/>
      </w:pPr>
      <w:r>
        <w:rPr>
          <w:color w:val="231F20"/>
        </w:rPr>
        <w:t>Se encontró un grupo de adolescentes tempranos mestizos en su mayoría, equitativamente distribuidos por sexo, y heterosexuales en su totalidad; donde los principales trastornos conductuales presentados fueron en la conducta alimentaria   y estabilidad emocional, y pertenecientes a hogares por ellos percibidos como adecuados funcionalmente, lo que nos lleva a analizar además de la familia otros entornos en los que se desarrolla el adolescente y donde puede buscar o encontrar referentes sociales de imitación, proceder este propio de su</w:t>
      </w:r>
      <w:r>
        <w:rPr>
          <w:color w:val="231F20"/>
          <w:spacing w:val="-13"/>
        </w:rPr>
        <w:t> </w:t>
      </w:r>
      <w:r>
        <w:rPr>
          <w:color w:val="231F20"/>
        </w:rPr>
        <w:t>edad.</w:t>
      </w:r>
    </w:p>
    <w:p>
      <w:pPr>
        <w:pStyle w:val="BodyText"/>
        <w:spacing w:before="7"/>
        <w:rPr>
          <w:sz w:val="25"/>
        </w:rPr>
      </w:pPr>
    </w:p>
    <w:p>
      <w:pPr>
        <w:pStyle w:val="BodyText"/>
        <w:spacing w:line="249" w:lineRule="auto" w:before="1"/>
        <w:ind w:left="117" w:right="114" w:firstLine="283"/>
        <w:jc w:val="both"/>
      </w:pPr>
      <w:r>
        <w:rPr>
          <w:color w:val="231F20"/>
        </w:rPr>
        <w:t>Aunque el consumo riesgoso de alcohol se presentó en baja frecuencia, al sumarse a los otros factores conductuales de tipo emocional, alimentario y hogares disfuncionales podrían aumentar este riesgo e inducir a otros problemas más serios como adicciones a sustancias ilegales, autolisis e incluso el suicidio.</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firstLine="283"/>
        <w:jc w:val="both"/>
      </w:pPr>
      <w:r>
        <w:rPr>
          <w:color w:val="231F20"/>
        </w:rPr>
        <w:t>Los test utilizados nos alertan sobre potenciales problemas y/o factores de riesgo que, aunque no son criterios diagnósticos definitivos, si constituyen herramientas idóneas para detectar alertas tempranas en adolescentes de conductas de riesgo para una intervención oportuna, preventiva y de alto impacto individual, familiar y comunitario.</w:t>
      </w:r>
    </w:p>
    <w:p>
      <w:pPr>
        <w:pStyle w:val="BodyText"/>
        <w:spacing w:before="5"/>
        <w:rPr>
          <w:sz w:val="25"/>
        </w:rPr>
      </w:pPr>
    </w:p>
    <w:p>
      <w:pPr>
        <w:pStyle w:val="BodyText"/>
        <w:spacing w:line="249" w:lineRule="auto"/>
        <w:ind w:left="117" w:right="116" w:firstLine="283"/>
        <w:jc w:val="both"/>
      </w:pPr>
      <w:r>
        <w:rPr>
          <w:color w:val="231F20"/>
        </w:rPr>
        <w:t>Es</w:t>
      </w:r>
      <w:r>
        <w:rPr>
          <w:color w:val="231F20"/>
          <w:spacing w:val="-36"/>
        </w:rPr>
        <w:t> </w:t>
      </w:r>
      <w:r>
        <w:rPr>
          <w:color w:val="231F20"/>
        </w:rPr>
        <w:t>indispensable</w:t>
      </w:r>
      <w:r>
        <w:rPr>
          <w:color w:val="231F20"/>
          <w:spacing w:val="-34"/>
        </w:rPr>
        <w:t> </w:t>
      </w:r>
      <w:r>
        <w:rPr>
          <w:color w:val="231F20"/>
        </w:rPr>
        <w:t>intervenir</w:t>
      </w:r>
      <w:r>
        <w:rPr>
          <w:color w:val="231F20"/>
          <w:spacing w:val="-35"/>
        </w:rPr>
        <w:t> </w:t>
      </w:r>
      <w:r>
        <w:rPr>
          <w:color w:val="231F20"/>
        </w:rPr>
        <w:t>multisectorialmente</w:t>
      </w:r>
      <w:r>
        <w:rPr>
          <w:color w:val="231F20"/>
          <w:spacing w:val="-34"/>
        </w:rPr>
        <w:t> </w:t>
      </w:r>
      <w:r>
        <w:rPr>
          <w:color w:val="231F20"/>
        </w:rPr>
        <w:t>en</w:t>
      </w:r>
      <w:r>
        <w:rPr>
          <w:color w:val="231F20"/>
          <w:spacing w:val="-35"/>
        </w:rPr>
        <w:t> </w:t>
      </w:r>
      <w:r>
        <w:rPr>
          <w:color w:val="231F20"/>
        </w:rPr>
        <w:t>los</w:t>
      </w:r>
      <w:r>
        <w:rPr>
          <w:color w:val="231F20"/>
          <w:spacing w:val="-35"/>
        </w:rPr>
        <w:t> </w:t>
      </w:r>
      <w:r>
        <w:rPr>
          <w:color w:val="231F20"/>
        </w:rPr>
        <w:t>espacios</w:t>
      </w:r>
      <w:r>
        <w:rPr>
          <w:color w:val="231F20"/>
          <w:spacing w:val="-34"/>
        </w:rPr>
        <w:t> </w:t>
      </w:r>
      <w:r>
        <w:rPr>
          <w:color w:val="231F20"/>
        </w:rPr>
        <w:t>en</w:t>
      </w:r>
      <w:r>
        <w:rPr>
          <w:color w:val="231F20"/>
          <w:spacing w:val="-35"/>
        </w:rPr>
        <w:t> </w:t>
      </w:r>
      <w:r>
        <w:rPr>
          <w:color w:val="231F20"/>
        </w:rPr>
        <w:t>que</w:t>
      </w:r>
      <w:r>
        <w:rPr>
          <w:color w:val="231F20"/>
          <w:spacing w:val="-35"/>
        </w:rPr>
        <w:t> </w:t>
      </w:r>
      <w:r>
        <w:rPr>
          <w:color w:val="231F20"/>
        </w:rPr>
        <w:t>se</w:t>
      </w:r>
      <w:r>
        <w:rPr>
          <w:color w:val="231F20"/>
          <w:spacing w:val="-35"/>
        </w:rPr>
        <w:t> </w:t>
      </w:r>
      <w:r>
        <w:rPr>
          <w:color w:val="231F20"/>
        </w:rPr>
        <w:t>desarrollan los</w:t>
      </w:r>
      <w:r>
        <w:rPr>
          <w:color w:val="231F20"/>
          <w:spacing w:val="-23"/>
        </w:rPr>
        <w:t> </w:t>
      </w:r>
      <w:r>
        <w:rPr>
          <w:color w:val="231F20"/>
        </w:rPr>
        <w:t>adolescentes</w:t>
      </w:r>
      <w:r>
        <w:rPr>
          <w:color w:val="231F20"/>
          <w:spacing w:val="-23"/>
        </w:rPr>
        <w:t> </w:t>
      </w:r>
      <w:r>
        <w:rPr>
          <w:color w:val="231F20"/>
        </w:rPr>
        <w:t>y</w:t>
      </w:r>
      <w:r>
        <w:rPr>
          <w:color w:val="231F20"/>
          <w:spacing w:val="-23"/>
        </w:rPr>
        <w:t> </w:t>
      </w:r>
      <w:r>
        <w:rPr>
          <w:color w:val="231F20"/>
        </w:rPr>
        <w:t>acompañar</w:t>
      </w:r>
      <w:r>
        <w:rPr>
          <w:color w:val="231F20"/>
          <w:spacing w:val="-23"/>
        </w:rPr>
        <w:t> </w:t>
      </w:r>
      <w:r>
        <w:rPr>
          <w:color w:val="231F20"/>
        </w:rPr>
        <w:t>el</w:t>
      </w:r>
      <w:r>
        <w:rPr>
          <w:color w:val="231F20"/>
          <w:spacing w:val="-23"/>
        </w:rPr>
        <w:t> </w:t>
      </w:r>
      <w:r>
        <w:rPr>
          <w:color w:val="231F20"/>
        </w:rPr>
        <w:t>proceso</w:t>
      </w:r>
      <w:r>
        <w:rPr>
          <w:color w:val="231F20"/>
          <w:spacing w:val="-22"/>
        </w:rPr>
        <w:t> </w:t>
      </w:r>
      <w:r>
        <w:rPr>
          <w:color w:val="231F20"/>
        </w:rPr>
        <w:t>desde</w:t>
      </w:r>
      <w:r>
        <w:rPr>
          <w:color w:val="231F20"/>
          <w:spacing w:val="-23"/>
        </w:rPr>
        <w:t> </w:t>
      </w:r>
      <w:r>
        <w:rPr>
          <w:color w:val="231F20"/>
        </w:rPr>
        <w:t>todos</w:t>
      </w:r>
      <w:r>
        <w:rPr>
          <w:color w:val="231F20"/>
          <w:spacing w:val="-23"/>
        </w:rPr>
        <w:t> </w:t>
      </w:r>
      <w:r>
        <w:rPr>
          <w:color w:val="231F20"/>
        </w:rPr>
        <w:t>los</w:t>
      </w:r>
      <w:r>
        <w:rPr>
          <w:color w:val="231F20"/>
          <w:spacing w:val="-23"/>
        </w:rPr>
        <w:t> </w:t>
      </w:r>
      <w:r>
        <w:rPr>
          <w:color w:val="231F20"/>
        </w:rPr>
        <w:t>actores</w:t>
      </w:r>
      <w:r>
        <w:rPr>
          <w:color w:val="231F20"/>
          <w:spacing w:val="-23"/>
        </w:rPr>
        <w:t> </w:t>
      </w:r>
      <w:r>
        <w:rPr>
          <w:color w:val="231F20"/>
        </w:rPr>
        <w:t>buscando</w:t>
      </w:r>
      <w:r>
        <w:rPr>
          <w:color w:val="231F20"/>
          <w:spacing w:val="-23"/>
        </w:rPr>
        <w:t> </w:t>
      </w:r>
      <w:r>
        <w:rPr>
          <w:color w:val="231F20"/>
        </w:rPr>
        <w:t>referentes conductuales más adecuados y desarrollar en el mismo una conciencia y capacidad de</w:t>
      </w:r>
      <w:r>
        <w:rPr>
          <w:color w:val="231F20"/>
          <w:spacing w:val="-16"/>
        </w:rPr>
        <w:t> </w:t>
      </w:r>
      <w:r>
        <w:rPr>
          <w:color w:val="231F20"/>
        </w:rPr>
        <w:t>discriminación</w:t>
      </w:r>
      <w:r>
        <w:rPr>
          <w:color w:val="231F20"/>
          <w:spacing w:val="-16"/>
        </w:rPr>
        <w:t> </w:t>
      </w:r>
      <w:r>
        <w:rPr>
          <w:color w:val="231F20"/>
        </w:rPr>
        <w:t>entre</w:t>
      </w:r>
      <w:r>
        <w:rPr>
          <w:color w:val="231F20"/>
          <w:spacing w:val="-15"/>
        </w:rPr>
        <w:t> </w:t>
      </w:r>
      <w:r>
        <w:rPr>
          <w:color w:val="231F20"/>
        </w:rPr>
        <w:t>lo</w:t>
      </w:r>
      <w:r>
        <w:rPr>
          <w:color w:val="231F20"/>
          <w:spacing w:val="-16"/>
        </w:rPr>
        <w:t> </w:t>
      </w:r>
      <w:r>
        <w:rPr>
          <w:color w:val="231F20"/>
        </w:rPr>
        <w:t>más</w:t>
      </w:r>
      <w:r>
        <w:rPr>
          <w:color w:val="231F20"/>
          <w:spacing w:val="-15"/>
        </w:rPr>
        <w:t> </w:t>
      </w:r>
      <w:r>
        <w:rPr>
          <w:color w:val="231F20"/>
        </w:rPr>
        <w:t>adecuado</w:t>
      </w:r>
      <w:r>
        <w:rPr>
          <w:color w:val="231F20"/>
          <w:spacing w:val="-16"/>
        </w:rPr>
        <w:t> </w:t>
      </w:r>
      <w:r>
        <w:rPr>
          <w:color w:val="231F20"/>
        </w:rPr>
        <w:t>para</w:t>
      </w:r>
      <w:r>
        <w:rPr>
          <w:color w:val="231F20"/>
          <w:spacing w:val="-16"/>
        </w:rPr>
        <w:t> </w:t>
      </w:r>
      <w:r>
        <w:rPr>
          <w:color w:val="231F20"/>
        </w:rPr>
        <w:t>su</w:t>
      </w:r>
      <w:r>
        <w:rPr>
          <w:color w:val="231F20"/>
          <w:spacing w:val="-15"/>
        </w:rPr>
        <w:t> </w:t>
      </w:r>
      <w:r>
        <w:rPr>
          <w:color w:val="231F20"/>
        </w:rPr>
        <w:t>desarrollo</w:t>
      </w:r>
      <w:r>
        <w:rPr>
          <w:color w:val="231F20"/>
          <w:spacing w:val="-16"/>
        </w:rPr>
        <w:t> </w:t>
      </w:r>
      <w:r>
        <w:rPr>
          <w:color w:val="231F20"/>
        </w:rPr>
        <w:t>óptimo</w:t>
      </w:r>
      <w:r>
        <w:rPr>
          <w:color w:val="231F20"/>
          <w:spacing w:val="-15"/>
        </w:rPr>
        <w:t> </w:t>
      </w:r>
      <w:r>
        <w:rPr>
          <w:color w:val="231F20"/>
        </w:rPr>
        <w:t>y</w:t>
      </w:r>
      <w:r>
        <w:rPr>
          <w:color w:val="231F20"/>
          <w:spacing w:val="-16"/>
        </w:rPr>
        <w:t> </w:t>
      </w:r>
      <w:r>
        <w:rPr>
          <w:color w:val="231F20"/>
        </w:rPr>
        <w:t>proyecto</w:t>
      </w:r>
      <w:r>
        <w:rPr>
          <w:color w:val="231F20"/>
          <w:spacing w:val="-16"/>
        </w:rPr>
        <w:t> </w:t>
      </w:r>
      <w:r>
        <w:rPr>
          <w:color w:val="231F20"/>
        </w:rPr>
        <w:t>de</w:t>
      </w:r>
      <w:r>
        <w:rPr>
          <w:color w:val="231F20"/>
          <w:spacing w:val="-15"/>
        </w:rPr>
        <w:t> </w:t>
      </w:r>
      <w:r>
        <w:rPr>
          <w:color w:val="231F20"/>
        </w:rPr>
        <w:t>vida.</w:t>
      </w:r>
    </w:p>
    <w:p>
      <w:pPr>
        <w:pStyle w:val="BodyText"/>
        <w:spacing w:before="10"/>
        <w:rPr>
          <w:sz w:val="25"/>
        </w:rPr>
      </w:pPr>
    </w:p>
    <w:p>
      <w:pPr>
        <w:pStyle w:val="Heading2"/>
      </w:pPr>
      <w:r>
        <w:rPr>
          <w:color w:val="D2232A"/>
        </w:rPr>
        <w:t>RECONOCIMIENTOS</w:t>
      </w:r>
    </w:p>
    <w:p>
      <w:pPr>
        <w:pStyle w:val="BodyText"/>
        <w:spacing w:before="8"/>
        <w:rPr>
          <w:b/>
          <w:sz w:val="25"/>
        </w:rPr>
      </w:pPr>
    </w:p>
    <w:p>
      <w:pPr>
        <w:pStyle w:val="BodyText"/>
        <w:spacing w:line="249" w:lineRule="auto"/>
        <w:ind w:left="117" w:right="115" w:firstLine="283"/>
        <w:jc w:val="both"/>
      </w:pPr>
      <w:r>
        <w:rPr>
          <w:color w:val="231F20"/>
        </w:rPr>
        <w:t>Se reconoce y agradece el apoyo prestado por los y las estudiantes de la carrera de Enfermería de los quintos semestres de la Facultad de Ciencias de la Salud de la Universidad Técnica del Norte quienes aplicaron las encuestas y los instrumentos de tamizaje conductual al grupo de adolescentes tempranos, así como a las autoridades de la Facultad de Ciencias de la Salud y Coordinadoras de Carreras que promueven constantemente</w:t>
      </w:r>
      <w:r>
        <w:rPr>
          <w:color w:val="231F20"/>
          <w:spacing w:val="-8"/>
        </w:rPr>
        <w:t> </w:t>
      </w:r>
      <w:r>
        <w:rPr>
          <w:color w:val="231F20"/>
        </w:rPr>
        <w:t>espacios</w:t>
      </w:r>
      <w:r>
        <w:rPr>
          <w:color w:val="231F20"/>
          <w:spacing w:val="-7"/>
        </w:rPr>
        <w:t> </w:t>
      </w:r>
      <w:r>
        <w:rPr>
          <w:color w:val="231F20"/>
        </w:rPr>
        <w:t>de</w:t>
      </w:r>
      <w:r>
        <w:rPr>
          <w:color w:val="231F20"/>
          <w:spacing w:val="-8"/>
        </w:rPr>
        <w:t> </w:t>
      </w:r>
      <w:r>
        <w:rPr>
          <w:color w:val="231F20"/>
        </w:rPr>
        <w:t>investigación</w:t>
      </w:r>
      <w:r>
        <w:rPr>
          <w:color w:val="231F20"/>
          <w:spacing w:val="-8"/>
        </w:rPr>
        <w:t> </w:t>
      </w:r>
      <w:r>
        <w:rPr>
          <w:color w:val="231F20"/>
        </w:rPr>
        <w:t>y</w:t>
      </w:r>
      <w:r>
        <w:rPr>
          <w:color w:val="231F20"/>
          <w:spacing w:val="-8"/>
        </w:rPr>
        <w:t> </w:t>
      </w:r>
      <w:r>
        <w:rPr>
          <w:color w:val="231F20"/>
        </w:rPr>
        <w:t>divulgación</w:t>
      </w:r>
      <w:r>
        <w:rPr>
          <w:color w:val="231F20"/>
          <w:spacing w:val="-7"/>
        </w:rPr>
        <w:t> </w:t>
      </w:r>
      <w:r>
        <w:rPr>
          <w:color w:val="231F20"/>
        </w:rPr>
        <w:t>científica</w:t>
      </w:r>
      <w:r>
        <w:rPr>
          <w:color w:val="231F20"/>
          <w:spacing w:val="-7"/>
        </w:rPr>
        <w:t> </w:t>
      </w:r>
      <w:r>
        <w:rPr>
          <w:color w:val="231F20"/>
        </w:rPr>
        <w:t>como</w:t>
      </w:r>
      <w:r>
        <w:rPr>
          <w:color w:val="231F20"/>
          <w:spacing w:val="-8"/>
        </w:rPr>
        <w:t> </w:t>
      </w:r>
      <w:r>
        <w:rPr>
          <w:color w:val="231F20"/>
        </w:rPr>
        <w:t>parte</w:t>
      </w:r>
      <w:r>
        <w:rPr>
          <w:color w:val="231F20"/>
          <w:spacing w:val="-8"/>
        </w:rPr>
        <w:t> </w:t>
      </w:r>
      <w:r>
        <w:rPr>
          <w:color w:val="231F20"/>
        </w:rPr>
        <w:t>integral del quehacer docente, desde la interdisciplinaridad en beneficio de la comunidad educativa y sociedad en general. Finalmente, un especial agradecimiento a los 35 adolescentes</w:t>
      </w:r>
      <w:r>
        <w:rPr>
          <w:color w:val="231F20"/>
          <w:spacing w:val="-19"/>
        </w:rPr>
        <w:t> </w:t>
      </w:r>
      <w:r>
        <w:rPr>
          <w:color w:val="231F20"/>
        </w:rPr>
        <w:t>tempranos</w:t>
      </w:r>
      <w:r>
        <w:rPr>
          <w:color w:val="231F20"/>
          <w:spacing w:val="-18"/>
        </w:rPr>
        <w:t> </w:t>
      </w:r>
      <w:r>
        <w:rPr>
          <w:color w:val="231F20"/>
        </w:rPr>
        <w:t>que</w:t>
      </w:r>
      <w:r>
        <w:rPr>
          <w:color w:val="231F20"/>
          <w:spacing w:val="-18"/>
        </w:rPr>
        <w:t> </w:t>
      </w:r>
      <w:r>
        <w:rPr>
          <w:color w:val="231F20"/>
        </w:rPr>
        <w:t>fueron</w:t>
      </w:r>
      <w:r>
        <w:rPr>
          <w:color w:val="231F20"/>
          <w:spacing w:val="-18"/>
        </w:rPr>
        <w:t> </w:t>
      </w:r>
      <w:r>
        <w:rPr>
          <w:color w:val="231F20"/>
        </w:rPr>
        <w:t>parte</w:t>
      </w:r>
      <w:r>
        <w:rPr>
          <w:color w:val="231F20"/>
          <w:spacing w:val="-18"/>
        </w:rPr>
        <w:t> </w:t>
      </w:r>
      <w:r>
        <w:rPr>
          <w:color w:val="231F20"/>
        </w:rPr>
        <w:t>de</w:t>
      </w:r>
      <w:r>
        <w:rPr>
          <w:color w:val="231F20"/>
          <w:spacing w:val="-18"/>
        </w:rPr>
        <w:t> </w:t>
      </w:r>
      <w:r>
        <w:rPr>
          <w:color w:val="231F20"/>
        </w:rPr>
        <w:t>este</w:t>
      </w:r>
      <w:r>
        <w:rPr>
          <w:color w:val="231F20"/>
          <w:spacing w:val="-18"/>
        </w:rPr>
        <w:t> </w:t>
      </w:r>
      <w:r>
        <w:rPr>
          <w:color w:val="231F20"/>
        </w:rPr>
        <w:t>estudio</w:t>
      </w:r>
      <w:r>
        <w:rPr>
          <w:color w:val="231F20"/>
          <w:spacing w:val="-18"/>
        </w:rPr>
        <w:t> </w:t>
      </w:r>
      <w:r>
        <w:rPr>
          <w:color w:val="231F20"/>
        </w:rPr>
        <w:t>al</w:t>
      </w:r>
      <w:r>
        <w:rPr>
          <w:color w:val="231F20"/>
          <w:spacing w:val="-18"/>
        </w:rPr>
        <w:t> </w:t>
      </w:r>
      <w:r>
        <w:rPr>
          <w:color w:val="231F20"/>
        </w:rPr>
        <w:t>permitir</w:t>
      </w:r>
      <w:r>
        <w:rPr>
          <w:color w:val="231F20"/>
          <w:spacing w:val="-18"/>
        </w:rPr>
        <w:t> </w:t>
      </w:r>
      <w:r>
        <w:rPr>
          <w:color w:val="231F20"/>
        </w:rPr>
        <w:t>explorar</w:t>
      </w:r>
      <w:r>
        <w:rPr>
          <w:color w:val="231F20"/>
          <w:spacing w:val="-19"/>
        </w:rPr>
        <w:t> </w:t>
      </w:r>
      <w:r>
        <w:rPr>
          <w:color w:val="231F20"/>
        </w:rPr>
        <w:t>aspectos de sus</w:t>
      </w:r>
      <w:r>
        <w:rPr>
          <w:color w:val="231F20"/>
          <w:spacing w:val="-2"/>
        </w:rPr>
        <w:t> </w:t>
      </w:r>
      <w:r>
        <w:rPr>
          <w:color w:val="231F20"/>
        </w:rPr>
        <w:t>vidas.</w:t>
      </w:r>
    </w:p>
    <w:p>
      <w:pPr>
        <w:pStyle w:val="Heading2"/>
        <w:spacing w:before="16"/>
        <w:ind w:right="106"/>
      </w:pPr>
      <w:r>
        <w:rPr>
          <w:color w:val="D2232A"/>
        </w:rPr>
        <w:t>BIBLIOGRAFÍA</w:t>
      </w:r>
    </w:p>
    <w:p>
      <w:pPr>
        <w:pStyle w:val="BodyText"/>
        <w:spacing w:before="8"/>
        <w:rPr>
          <w:b/>
          <w:sz w:val="25"/>
        </w:rPr>
      </w:pPr>
    </w:p>
    <w:p>
      <w:pPr>
        <w:pStyle w:val="ListParagraph"/>
        <w:numPr>
          <w:ilvl w:val="0"/>
          <w:numId w:val="1"/>
        </w:numPr>
        <w:tabs>
          <w:tab w:pos="515" w:val="left" w:leader="none"/>
        </w:tabs>
        <w:spacing w:line="249" w:lineRule="auto" w:before="0" w:after="0"/>
        <w:ind w:left="514" w:right="116" w:hanging="360"/>
        <w:jc w:val="both"/>
        <w:rPr>
          <w:sz w:val="24"/>
        </w:rPr>
      </w:pPr>
      <w:r>
        <w:rPr>
          <w:color w:val="231F20"/>
          <w:sz w:val="24"/>
        </w:rPr>
        <w:t>Ministerio de Salud Pública del Ecuador. Salud de adolescentes: guía de supervisión. Ed. Dirección Nacional de Normatización. Quito: El </w:t>
      </w:r>
      <w:r>
        <w:rPr>
          <w:color w:val="231F20"/>
          <w:spacing w:val="-4"/>
          <w:sz w:val="24"/>
        </w:rPr>
        <w:t>Telégrafo </w:t>
      </w:r>
      <w:r>
        <w:rPr>
          <w:color w:val="231F20"/>
          <w:spacing w:val="-11"/>
          <w:sz w:val="24"/>
        </w:rPr>
        <w:t>EP, </w:t>
      </w:r>
      <w:r>
        <w:rPr>
          <w:color w:val="231F20"/>
          <w:sz w:val="24"/>
        </w:rPr>
        <w:t>2014. &lt; Disponible en:</w:t>
      </w:r>
      <w:hyperlink r:id="rId18">
        <w:r>
          <w:rPr>
            <w:color w:val="231F20"/>
            <w:spacing w:val="-6"/>
            <w:sz w:val="24"/>
          </w:rPr>
          <w:t> </w:t>
        </w:r>
        <w:r>
          <w:rPr>
            <w:color w:val="231F20"/>
            <w:sz w:val="24"/>
          </w:rPr>
          <w:t>http://salud.gob.ec&gt;.</w:t>
        </w:r>
      </w:hyperlink>
    </w:p>
    <w:p>
      <w:pPr>
        <w:pStyle w:val="ListParagraph"/>
        <w:numPr>
          <w:ilvl w:val="0"/>
          <w:numId w:val="1"/>
        </w:numPr>
        <w:tabs>
          <w:tab w:pos="515" w:val="left" w:leader="none"/>
        </w:tabs>
        <w:spacing w:line="249" w:lineRule="auto" w:before="116" w:after="0"/>
        <w:ind w:left="514" w:right="114" w:hanging="360"/>
        <w:jc w:val="both"/>
        <w:rPr>
          <w:sz w:val="24"/>
        </w:rPr>
      </w:pPr>
      <w:r>
        <w:rPr>
          <w:color w:val="231F20"/>
          <w:sz w:val="24"/>
        </w:rPr>
        <w:t>Gaete</w:t>
      </w:r>
      <w:r>
        <w:rPr>
          <w:color w:val="231F20"/>
          <w:spacing w:val="-33"/>
          <w:sz w:val="24"/>
        </w:rPr>
        <w:t> </w:t>
      </w:r>
      <w:r>
        <w:rPr>
          <w:color w:val="231F20"/>
          <w:spacing w:val="-3"/>
          <w:sz w:val="24"/>
        </w:rPr>
        <w:t>Verónica.</w:t>
      </w:r>
      <w:r>
        <w:rPr>
          <w:color w:val="231F20"/>
          <w:spacing w:val="-44"/>
          <w:sz w:val="24"/>
        </w:rPr>
        <w:t> </w:t>
      </w:r>
      <w:r>
        <w:rPr>
          <w:color w:val="231F20"/>
          <w:sz w:val="24"/>
        </w:rPr>
        <w:t>Adolescent</w:t>
      </w:r>
      <w:r>
        <w:rPr>
          <w:color w:val="231F20"/>
          <w:spacing w:val="-33"/>
          <w:sz w:val="24"/>
        </w:rPr>
        <w:t> </w:t>
      </w:r>
      <w:r>
        <w:rPr>
          <w:color w:val="231F20"/>
          <w:sz w:val="24"/>
        </w:rPr>
        <w:t>psychosocial</w:t>
      </w:r>
      <w:r>
        <w:rPr>
          <w:color w:val="231F20"/>
          <w:spacing w:val="-32"/>
          <w:sz w:val="24"/>
        </w:rPr>
        <w:t> </w:t>
      </w:r>
      <w:r>
        <w:rPr>
          <w:color w:val="231F20"/>
          <w:sz w:val="24"/>
        </w:rPr>
        <w:t>development.</w:t>
      </w:r>
      <w:r>
        <w:rPr>
          <w:color w:val="231F20"/>
          <w:spacing w:val="-32"/>
          <w:sz w:val="24"/>
        </w:rPr>
        <w:t> </w:t>
      </w:r>
      <w:r>
        <w:rPr>
          <w:color w:val="231F20"/>
          <w:spacing w:val="-5"/>
          <w:sz w:val="24"/>
        </w:rPr>
        <w:t>Rev.</w:t>
      </w:r>
      <w:r>
        <w:rPr>
          <w:color w:val="231F20"/>
          <w:spacing w:val="-32"/>
          <w:sz w:val="24"/>
        </w:rPr>
        <w:t> </w:t>
      </w:r>
      <w:r>
        <w:rPr>
          <w:color w:val="231F20"/>
          <w:sz w:val="24"/>
        </w:rPr>
        <w:t>chil.</w:t>
      </w:r>
      <w:r>
        <w:rPr>
          <w:color w:val="231F20"/>
          <w:spacing w:val="-32"/>
          <w:sz w:val="24"/>
        </w:rPr>
        <w:t> </w:t>
      </w:r>
      <w:r>
        <w:rPr>
          <w:color w:val="231F20"/>
          <w:spacing w:val="-3"/>
          <w:sz w:val="24"/>
        </w:rPr>
        <w:t>pediatr.</w:t>
      </w:r>
      <w:r>
        <w:rPr>
          <w:color w:val="231F20"/>
          <w:spacing w:val="2"/>
          <w:sz w:val="24"/>
        </w:rPr>
        <w:t> </w:t>
      </w:r>
      <w:r>
        <w:rPr>
          <w:color w:val="231F20"/>
          <w:sz w:val="24"/>
        </w:rPr>
        <w:t>[Internet]. 2015</w:t>
      </w:r>
      <w:r>
        <w:rPr>
          <w:color w:val="231F20"/>
          <w:spacing w:val="-28"/>
          <w:sz w:val="24"/>
        </w:rPr>
        <w:t> </w:t>
      </w:r>
      <w:r>
        <w:rPr>
          <w:color w:val="231F20"/>
          <w:sz w:val="24"/>
        </w:rPr>
        <w:t>Dic</w:t>
      </w:r>
      <w:r>
        <w:rPr>
          <w:color w:val="231F20"/>
          <w:spacing w:val="-27"/>
          <w:sz w:val="24"/>
        </w:rPr>
        <w:t> </w:t>
      </w:r>
      <w:r>
        <w:rPr>
          <w:color w:val="231F20"/>
          <w:sz w:val="24"/>
        </w:rPr>
        <w:t>[citado</w:t>
      </w:r>
      <w:r>
        <w:rPr>
          <w:color w:val="231F20"/>
          <w:spacing w:val="-27"/>
          <w:sz w:val="24"/>
        </w:rPr>
        <w:t> </w:t>
      </w:r>
      <w:r>
        <w:rPr>
          <w:color w:val="231F20"/>
          <w:sz w:val="24"/>
        </w:rPr>
        <w:t>2018</w:t>
      </w:r>
      <w:r>
        <w:rPr>
          <w:color w:val="231F20"/>
          <w:spacing w:val="-28"/>
          <w:sz w:val="24"/>
        </w:rPr>
        <w:t> </w:t>
      </w:r>
      <w:r>
        <w:rPr>
          <w:color w:val="231F20"/>
          <w:sz w:val="24"/>
        </w:rPr>
        <w:t>Ene</w:t>
      </w:r>
      <w:r>
        <w:rPr>
          <w:color w:val="231F20"/>
          <w:spacing w:val="-27"/>
          <w:sz w:val="24"/>
        </w:rPr>
        <w:t> </w:t>
      </w:r>
      <w:r>
        <w:rPr>
          <w:color w:val="231F20"/>
          <w:sz w:val="24"/>
        </w:rPr>
        <w:t>31];</w:t>
      </w:r>
      <w:r>
        <w:rPr>
          <w:color w:val="231F20"/>
          <w:spacing w:val="-27"/>
          <w:sz w:val="24"/>
        </w:rPr>
        <w:t> </w:t>
      </w:r>
      <w:r>
        <w:rPr>
          <w:color w:val="231F20"/>
          <w:sz w:val="24"/>
        </w:rPr>
        <w:t>86</w:t>
      </w:r>
      <w:r>
        <w:rPr>
          <w:color w:val="231F20"/>
          <w:spacing w:val="-27"/>
          <w:sz w:val="24"/>
        </w:rPr>
        <w:t> </w:t>
      </w:r>
      <w:r>
        <w:rPr>
          <w:color w:val="231F20"/>
          <w:sz w:val="24"/>
        </w:rPr>
        <w:t>(6):</w:t>
      </w:r>
      <w:r>
        <w:rPr>
          <w:color w:val="231F20"/>
          <w:spacing w:val="-28"/>
          <w:sz w:val="24"/>
        </w:rPr>
        <w:t> </w:t>
      </w:r>
      <w:r>
        <w:rPr>
          <w:color w:val="231F20"/>
          <w:sz w:val="24"/>
        </w:rPr>
        <w:t>436-443.</w:t>
      </w:r>
      <w:r>
        <w:rPr>
          <w:color w:val="231F20"/>
          <w:spacing w:val="-27"/>
          <w:sz w:val="24"/>
        </w:rPr>
        <w:t> </w:t>
      </w:r>
      <w:r>
        <w:rPr>
          <w:color w:val="231F20"/>
          <w:sz w:val="24"/>
        </w:rPr>
        <w:t>Disponible</w:t>
      </w:r>
      <w:r>
        <w:rPr>
          <w:color w:val="231F20"/>
          <w:spacing w:val="-27"/>
          <w:sz w:val="24"/>
        </w:rPr>
        <w:t> </w:t>
      </w:r>
      <w:r>
        <w:rPr>
          <w:color w:val="231F20"/>
          <w:sz w:val="24"/>
        </w:rPr>
        <w:t>en:</w:t>
      </w:r>
      <w:r>
        <w:rPr>
          <w:color w:val="231F20"/>
          <w:spacing w:val="-27"/>
          <w:sz w:val="24"/>
        </w:rPr>
        <w:t> </w:t>
      </w:r>
      <w:r>
        <w:rPr>
          <w:color w:val="231F20"/>
          <w:sz w:val="24"/>
        </w:rPr>
        <w:t>https://scielo.conicyt. cl/scielo.php?script=sci_arttext&amp;pid=S0370-41062015000600010&amp;lng=es. </w:t>
      </w:r>
      <w:r>
        <w:rPr>
          <w:color w:val="231F20"/>
          <w:spacing w:val="-3"/>
          <w:sz w:val="24"/>
        </w:rPr>
        <w:t>http:// </w:t>
      </w:r>
      <w:r>
        <w:rPr>
          <w:color w:val="231F20"/>
          <w:sz w:val="24"/>
        </w:rPr>
        <w:t>dx.doi.org/10.1016/j.rchipe.2015.07.005.</w:t>
      </w:r>
    </w:p>
    <w:p>
      <w:pPr>
        <w:pStyle w:val="ListParagraph"/>
        <w:numPr>
          <w:ilvl w:val="0"/>
          <w:numId w:val="1"/>
        </w:numPr>
        <w:tabs>
          <w:tab w:pos="515" w:val="left" w:leader="none"/>
        </w:tabs>
        <w:spacing w:line="249" w:lineRule="auto" w:before="118" w:after="0"/>
        <w:ind w:left="514" w:right="114" w:hanging="360"/>
        <w:jc w:val="both"/>
        <w:rPr>
          <w:sz w:val="24"/>
        </w:rPr>
      </w:pPr>
      <w:r>
        <w:rPr>
          <w:color w:val="231F20"/>
          <w:sz w:val="24"/>
        </w:rPr>
        <w:t>Hidalgo-Rasmussen Carlos, Molina </w:t>
      </w:r>
      <w:r>
        <w:rPr>
          <w:color w:val="231F20"/>
          <w:spacing w:val="-4"/>
          <w:sz w:val="24"/>
        </w:rPr>
        <w:t>Temístocles,</w:t>
      </w:r>
      <w:r>
        <w:rPr>
          <w:color w:val="231F20"/>
          <w:spacing w:val="58"/>
          <w:sz w:val="24"/>
        </w:rPr>
        <w:t> </w:t>
      </w:r>
      <w:r>
        <w:rPr>
          <w:color w:val="231F20"/>
          <w:sz w:val="24"/>
        </w:rPr>
        <w:t>Molina Ramiro, Sepúlveda Rodrigo, Martínez </w:t>
      </w:r>
      <w:r>
        <w:rPr>
          <w:color w:val="231F20"/>
          <w:spacing w:val="-4"/>
          <w:sz w:val="24"/>
        </w:rPr>
        <w:t>Vania, </w:t>
      </w:r>
      <w:r>
        <w:rPr>
          <w:color w:val="231F20"/>
          <w:sz w:val="24"/>
        </w:rPr>
        <w:t>Montaño Rosa et al. Influence of bullying on the quality of life perception of Chilean students. </w:t>
      </w:r>
      <w:r>
        <w:rPr>
          <w:color w:val="231F20"/>
          <w:spacing w:val="-5"/>
          <w:sz w:val="24"/>
        </w:rPr>
        <w:t>Rev. </w:t>
      </w:r>
      <w:r>
        <w:rPr>
          <w:color w:val="231F20"/>
          <w:sz w:val="24"/>
        </w:rPr>
        <w:t>méd. Chile [Internet]. 2015 Jun [citado 2018 Ene 31]; 143(6): 716-723. Disponible en: https://scielo.conicyt.cl/scielo. php?script=sci_arttext&amp;pid=S0034-98872015000600004&amp;lng=es. </w:t>
      </w:r>
      <w:hyperlink r:id="rId19">
        <w:r>
          <w:rPr>
            <w:color w:val="231F20"/>
            <w:sz w:val="24"/>
          </w:rPr>
          <w:t>http://dx.doi.</w:t>
        </w:r>
      </w:hyperlink>
      <w:r>
        <w:rPr>
          <w:color w:val="231F20"/>
          <w:sz w:val="24"/>
        </w:rPr>
        <w:t> org/10.4067/S0034-98872015000600004.</w:t>
      </w:r>
    </w:p>
    <w:p>
      <w:pPr>
        <w:pStyle w:val="ListParagraph"/>
        <w:numPr>
          <w:ilvl w:val="0"/>
          <w:numId w:val="1"/>
        </w:numPr>
        <w:tabs>
          <w:tab w:pos="515" w:val="left" w:leader="none"/>
        </w:tabs>
        <w:spacing w:line="249" w:lineRule="auto" w:before="119" w:after="0"/>
        <w:ind w:left="514" w:right="115" w:hanging="360"/>
        <w:jc w:val="both"/>
        <w:rPr>
          <w:sz w:val="24"/>
        </w:rPr>
      </w:pPr>
      <w:r>
        <w:rPr>
          <w:color w:val="231F20"/>
          <w:sz w:val="24"/>
        </w:rPr>
        <w:t>Guedes </w:t>
      </w:r>
      <w:r>
        <w:rPr>
          <w:color w:val="231F20"/>
          <w:spacing w:val="-11"/>
          <w:sz w:val="24"/>
        </w:rPr>
        <w:t>DP, </w:t>
      </w:r>
      <w:r>
        <w:rPr>
          <w:color w:val="231F20"/>
          <w:sz w:val="24"/>
        </w:rPr>
        <w:t>Astudillo </w:t>
      </w:r>
      <w:r>
        <w:rPr>
          <w:color w:val="231F20"/>
          <w:spacing w:val="-11"/>
          <w:sz w:val="24"/>
        </w:rPr>
        <w:t>HAV, </w:t>
      </w:r>
      <w:r>
        <w:rPr>
          <w:color w:val="231F20"/>
          <w:sz w:val="24"/>
        </w:rPr>
        <w:t>Morales JMM, del Campo </w:t>
      </w:r>
      <w:r>
        <w:rPr>
          <w:color w:val="231F20"/>
          <w:spacing w:val="-3"/>
          <w:sz w:val="24"/>
        </w:rPr>
        <w:t>Vecino </w:t>
      </w:r>
      <w:r>
        <w:rPr>
          <w:color w:val="231F20"/>
          <w:sz w:val="24"/>
        </w:rPr>
        <w:t>J, Pires Júnior R. Calidad de vida relacionada con la salud de adolescentes latinoamericanos. Rev Panam Salud Pública.</w:t>
      </w:r>
      <w:r>
        <w:rPr>
          <w:color w:val="231F20"/>
          <w:spacing w:val="-1"/>
          <w:sz w:val="24"/>
        </w:rPr>
        <w:t> </w:t>
      </w:r>
      <w:r>
        <w:rPr>
          <w:color w:val="231F20"/>
          <w:sz w:val="24"/>
        </w:rPr>
        <w:t>2014;35(1):46–52.</w:t>
      </w:r>
    </w:p>
    <w:p>
      <w:pPr>
        <w:pStyle w:val="ListParagraph"/>
        <w:numPr>
          <w:ilvl w:val="0"/>
          <w:numId w:val="1"/>
        </w:numPr>
        <w:tabs>
          <w:tab w:pos="515" w:val="left" w:leader="none"/>
        </w:tabs>
        <w:spacing w:line="240" w:lineRule="auto" w:before="116" w:after="0"/>
        <w:ind w:left="514" w:right="0" w:hanging="361"/>
        <w:jc w:val="left"/>
        <w:rPr>
          <w:sz w:val="24"/>
        </w:rPr>
      </w:pPr>
      <w:r>
        <w:rPr>
          <w:color w:val="231F20"/>
          <w:sz w:val="24"/>
        </w:rPr>
        <w:t>INEC. Censo de población y vivienda Ecuador 2010;</w:t>
      </w:r>
      <w:r>
        <w:rPr>
          <w:color w:val="231F20"/>
          <w:spacing w:val="-8"/>
          <w:sz w:val="24"/>
        </w:rPr>
        <w:t> </w:t>
      </w:r>
      <w:r>
        <w:rPr>
          <w:color w:val="231F20"/>
          <w:sz w:val="24"/>
        </w:rPr>
        <w:t>2010.</w:t>
      </w:r>
    </w:p>
    <w:p>
      <w:pPr>
        <w:pStyle w:val="ListParagraph"/>
        <w:numPr>
          <w:ilvl w:val="0"/>
          <w:numId w:val="1"/>
        </w:numPr>
        <w:tabs>
          <w:tab w:pos="515" w:val="left" w:leader="none"/>
        </w:tabs>
        <w:spacing w:line="240" w:lineRule="auto" w:before="126" w:after="0"/>
        <w:ind w:left="514" w:right="0" w:hanging="361"/>
        <w:jc w:val="left"/>
        <w:rPr>
          <w:sz w:val="24"/>
        </w:rPr>
      </w:pPr>
      <w:r>
        <w:rPr>
          <w:color w:val="231F20"/>
          <w:sz w:val="24"/>
        </w:rPr>
        <w:t>INEC, </w:t>
      </w:r>
      <w:r>
        <w:rPr>
          <w:color w:val="231F20"/>
          <w:spacing w:val="-8"/>
          <w:sz w:val="24"/>
        </w:rPr>
        <w:t>MSP. </w:t>
      </w:r>
      <w:r>
        <w:rPr>
          <w:color w:val="231F20"/>
          <w:sz w:val="24"/>
        </w:rPr>
        <w:t>Datos esenciales de salud; 2012:</w:t>
      </w:r>
      <w:r>
        <w:rPr>
          <w:color w:val="231F20"/>
          <w:spacing w:val="1"/>
          <w:sz w:val="24"/>
        </w:rPr>
        <w:t> </w:t>
      </w:r>
      <w:r>
        <w:rPr>
          <w:color w:val="231F20"/>
          <w:sz w:val="24"/>
        </w:rPr>
        <w:t>1–60.</w:t>
      </w:r>
    </w:p>
    <w:p>
      <w:pPr>
        <w:pStyle w:val="ListParagraph"/>
        <w:numPr>
          <w:ilvl w:val="0"/>
          <w:numId w:val="1"/>
        </w:numPr>
        <w:tabs>
          <w:tab w:pos="515" w:val="left" w:leader="none"/>
        </w:tabs>
        <w:spacing w:line="240" w:lineRule="auto" w:before="125" w:after="0"/>
        <w:ind w:left="514" w:right="0" w:hanging="361"/>
        <w:jc w:val="left"/>
        <w:rPr>
          <w:sz w:val="24"/>
        </w:rPr>
      </w:pPr>
      <w:r>
        <w:rPr>
          <w:color w:val="231F20"/>
          <w:sz w:val="24"/>
        </w:rPr>
        <w:t>Gobierno</w:t>
      </w:r>
      <w:r>
        <w:rPr>
          <w:color w:val="231F20"/>
          <w:spacing w:val="-10"/>
          <w:sz w:val="24"/>
        </w:rPr>
        <w:t> </w:t>
      </w:r>
      <w:r>
        <w:rPr>
          <w:color w:val="231F20"/>
          <w:sz w:val="24"/>
        </w:rPr>
        <w:t>Nacional</w:t>
      </w:r>
      <w:r>
        <w:rPr>
          <w:color w:val="231F20"/>
          <w:spacing w:val="-9"/>
          <w:sz w:val="24"/>
        </w:rPr>
        <w:t> </w:t>
      </w:r>
      <w:r>
        <w:rPr>
          <w:color w:val="231F20"/>
          <w:sz w:val="24"/>
        </w:rPr>
        <w:t>de</w:t>
      </w:r>
      <w:r>
        <w:rPr>
          <w:color w:val="231F20"/>
          <w:spacing w:val="-10"/>
          <w:sz w:val="24"/>
        </w:rPr>
        <w:t> </w:t>
      </w:r>
      <w:r>
        <w:rPr>
          <w:color w:val="231F20"/>
          <w:sz w:val="24"/>
        </w:rPr>
        <w:t>la</w:t>
      </w:r>
      <w:r>
        <w:rPr>
          <w:color w:val="231F20"/>
          <w:spacing w:val="-10"/>
          <w:sz w:val="24"/>
        </w:rPr>
        <w:t> </w:t>
      </w:r>
      <w:r>
        <w:rPr>
          <w:color w:val="231F20"/>
          <w:sz w:val="24"/>
        </w:rPr>
        <w:t>República</w:t>
      </w:r>
      <w:r>
        <w:rPr>
          <w:color w:val="231F20"/>
          <w:spacing w:val="-10"/>
          <w:sz w:val="24"/>
        </w:rPr>
        <w:t> </w:t>
      </w:r>
      <w:r>
        <w:rPr>
          <w:color w:val="231F20"/>
          <w:sz w:val="24"/>
        </w:rPr>
        <w:t>del</w:t>
      </w:r>
      <w:r>
        <w:rPr>
          <w:color w:val="231F20"/>
          <w:spacing w:val="-10"/>
          <w:sz w:val="24"/>
        </w:rPr>
        <w:t> </w:t>
      </w:r>
      <w:r>
        <w:rPr>
          <w:color w:val="231F20"/>
          <w:sz w:val="24"/>
        </w:rPr>
        <w:t>Ecuador.</w:t>
      </w:r>
      <w:r>
        <w:rPr>
          <w:color w:val="231F20"/>
          <w:spacing w:val="-10"/>
          <w:sz w:val="24"/>
        </w:rPr>
        <w:t> </w:t>
      </w:r>
      <w:r>
        <w:rPr>
          <w:color w:val="231F20"/>
          <w:sz w:val="24"/>
        </w:rPr>
        <w:t>ENIPLA</w:t>
      </w:r>
      <w:r>
        <w:rPr>
          <w:color w:val="231F20"/>
          <w:spacing w:val="-22"/>
          <w:sz w:val="24"/>
        </w:rPr>
        <w:t> </w:t>
      </w:r>
      <w:r>
        <w:rPr>
          <w:color w:val="231F20"/>
          <w:sz w:val="24"/>
        </w:rPr>
        <w:t>Documento</w:t>
      </w:r>
      <w:r>
        <w:rPr>
          <w:color w:val="231F20"/>
          <w:spacing w:val="-10"/>
          <w:sz w:val="24"/>
        </w:rPr>
        <w:t> </w:t>
      </w:r>
      <w:r>
        <w:rPr>
          <w:color w:val="231F20"/>
          <w:sz w:val="24"/>
        </w:rPr>
        <w:t>oficial;</w:t>
      </w:r>
      <w:r>
        <w:rPr>
          <w:color w:val="231F20"/>
          <w:spacing w:val="-10"/>
          <w:sz w:val="24"/>
        </w:rPr>
        <w:t> </w:t>
      </w:r>
      <w:r>
        <w:rPr>
          <w:color w:val="231F20"/>
          <w:sz w:val="24"/>
        </w:rPr>
        <w:t>2012.</w:t>
      </w:r>
    </w:p>
    <w:p>
      <w:pPr>
        <w:spacing w:after="0" w:line="240" w:lineRule="auto"/>
        <w:jc w:val="left"/>
        <w:rPr>
          <w:sz w:val="24"/>
        </w:rPr>
        <w:sectPr>
          <w:pgSz w:w="11910" w:h="16840"/>
          <w:pgMar w:header="581" w:footer="1333" w:top="1240" w:bottom="1520" w:left="1300" w:right="1300"/>
        </w:sectPr>
      </w:pPr>
    </w:p>
    <w:p>
      <w:pPr>
        <w:pStyle w:val="BodyText"/>
        <w:spacing w:before="2"/>
        <w:rPr>
          <w:sz w:val="17"/>
        </w:rPr>
      </w:pPr>
    </w:p>
    <w:p>
      <w:pPr>
        <w:pStyle w:val="ListParagraph"/>
        <w:numPr>
          <w:ilvl w:val="0"/>
          <w:numId w:val="1"/>
        </w:numPr>
        <w:tabs>
          <w:tab w:pos="515" w:val="left" w:leader="none"/>
        </w:tabs>
        <w:spacing w:line="249" w:lineRule="auto" w:before="92" w:after="0"/>
        <w:ind w:left="514" w:right="114" w:hanging="360"/>
        <w:jc w:val="both"/>
        <w:rPr>
          <w:sz w:val="24"/>
        </w:rPr>
      </w:pPr>
      <w:r>
        <w:rPr>
          <w:color w:val="231F20"/>
          <w:spacing w:val="-8"/>
          <w:sz w:val="24"/>
        </w:rPr>
        <w:t>MSP. </w:t>
      </w:r>
      <w:r>
        <w:rPr>
          <w:color w:val="231F20"/>
          <w:sz w:val="24"/>
        </w:rPr>
        <w:t>Manual del Modelo de Atención Integral del Sistema Nacional de Salud Familiar</w:t>
      </w:r>
      <w:r>
        <w:rPr>
          <w:color w:val="231F20"/>
          <w:spacing w:val="-20"/>
          <w:sz w:val="24"/>
        </w:rPr>
        <w:t> </w:t>
      </w:r>
      <w:r>
        <w:rPr>
          <w:color w:val="231F20"/>
          <w:sz w:val="24"/>
        </w:rPr>
        <w:t>Comunitario</w:t>
      </w:r>
      <w:r>
        <w:rPr>
          <w:color w:val="231F20"/>
          <w:spacing w:val="-19"/>
          <w:sz w:val="24"/>
        </w:rPr>
        <w:t> </w:t>
      </w:r>
      <w:r>
        <w:rPr>
          <w:color w:val="231F20"/>
          <w:sz w:val="24"/>
        </w:rPr>
        <w:t>e</w:t>
      </w:r>
      <w:r>
        <w:rPr>
          <w:color w:val="231F20"/>
          <w:spacing w:val="-20"/>
          <w:sz w:val="24"/>
        </w:rPr>
        <w:t> </w:t>
      </w:r>
      <w:r>
        <w:rPr>
          <w:color w:val="231F20"/>
          <w:sz w:val="24"/>
        </w:rPr>
        <w:t>Intercultural</w:t>
      </w:r>
      <w:r>
        <w:rPr>
          <w:color w:val="231F20"/>
          <w:spacing w:val="-19"/>
          <w:sz w:val="24"/>
        </w:rPr>
        <w:t> </w:t>
      </w:r>
      <w:r>
        <w:rPr>
          <w:color w:val="231F20"/>
          <w:sz w:val="24"/>
        </w:rPr>
        <w:t>(MAIS-FCI).</w:t>
      </w:r>
      <w:r>
        <w:rPr>
          <w:color w:val="231F20"/>
          <w:spacing w:val="-20"/>
          <w:sz w:val="24"/>
        </w:rPr>
        <w:t> </w:t>
      </w:r>
      <w:r>
        <w:rPr>
          <w:color w:val="231F20"/>
          <w:sz w:val="24"/>
        </w:rPr>
        <w:t>Ecuador:</w:t>
      </w:r>
      <w:r>
        <w:rPr>
          <w:color w:val="231F20"/>
          <w:spacing w:val="-19"/>
          <w:sz w:val="24"/>
        </w:rPr>
        <w:t> </w:t>
      </w:r>
      <w:r>
        <w:rPr>
          <w:color w:val="231F20"/>
          <w:sz w:val="24"/>
        </w:rPr>
        <w:t>MSP;</w:t>
      </w:r>
      <w:r>
        <w:rPr>
          <w:color w:val="231F20"/>
          <w:spacing w:val="-20"/>
          <w:sz w:val="24"/>
        </w:rPr>
        <w:t> </w:t>
      </w:r>
      <w:r>
        <w:rPr>
          <w:color w:val="231F20"/>
          <w:sz w:val="24"/>
        </w:rPr>
        <w:t>2013.</w:t>
      </w:r>
      <w:r>
        <w:rPr>
          <w:color w:val="231F20"/>
          <w:spacing w:val="-19"/>
          <w:sz w:val="24"/>
        </w:rPr>
        <w:t> </w:t>
      </w:r>
      <w:r>
        <w:rPr>
          <w:color w:val="231F20"/>
          <w:sz w:val="24"/>
        </w:rPr>
        <w:t>&lt;</w:t>
      </w:r>
      <w:r>
        <w:rPr>
          <w:color w:val="231F20"/>
          <w:spacing w:val="-20"/>
          <w:sz w:val="24"/>
        </w:rPr>
        <w:t> </w:t>
      </w:r>
      <w:r>
        <w:rPr>
          <w:color w:val="231F20"/>
          <w:sz w:val="24"/>
        </w:rPr>
        <w:t>Disponible en:</w:t>
      </w:r>
      <w:hyperlink r:id="rId18">
        <w:r>
          <w:rPr>
            <w:color w:val="231F20"/>
            <w:spacing w:val="-2"/>
            <w:sz w:val="24"/>
          </w:rPr>
          <w:t> </w:t>
        </w:r>
        <w:r>
          <w:rPr>
            <w:color w:val="231F20"/>
            <w:sz w:val="24"/>
          </w:rPr>
          <w:t>http://salud.gob.ec&gt;.</w:t>
        </w:r>
      </w:hyperlink>
    </w:p>
    <w:p>
      <w:pPr>
        <w:pStyle w:val="ListParagraph"/>
        <w:numPr>
          <w:ilvl w:val="0"/>
          <w:numId w:val="1"/>
        </w:numPr>
        <w:tabs>
          <w:tab w:pos="515" w:val="left" w:leader="none"/>
          <w:tab w:pos="6530" w:val="left" w:leader="none"/>
        </w:tabs>
        <w:spacing w:line="249" w:lineRule="auto" w:before="116" w:after="0"/>
        <w:ind w:left="514" w:right="114" w:hanging="360"/>
        <w:jc w:val="both"/>
        <w:rPr>
          <w:sz w:val="24"/>
        </w:rPr>
      </w:pPr>
      <w:r>
        <w:rPr>
          <w:color w:val="231F20"/>
          <w:sz w:val="24"/>
        </w:rPr>
        <w:t>Leal Ingrid, Luttges Carolina, Troncoso Paulina, Leyton Carolina, Molina </w:t>
      </w:r>
      <w:r>
        <w:rPr>
          <w:color w:val="231F20"/>
          <w:spacing w:val="-4"/>
          <w:sz w:val="24"/>
        </w:rPr>
        <w:t>Temistocles,</w:t>
      </w:r>
      <w:r>
        <w:rPr>
          <w:color w:val="231F20"/>
          <w:spacing w:val="58"/>
          <w:sz w:val="24"/>
        </w:rPr>
        <w:t> </w:t>
      </w:r>
      <w:r>
        <w:rPr>
          <w:color w:val="231F20"/>
          <w:sz w:val="24"/>
        </w:rPr>
        <w:t>Eguiguren Pamela. Conocimientos y práctica clínica de los proveedores de salud para la prevención del embarazo adolescente según marco legal chileno. </w:t>
      </w:r>
      <w:r>
        <w:rPr>
          <w:color w:val="231F20"/>
          <w:spacing w:val="-5"/>
          <w:sz w:val="24"/>
        </w:rPr>
        <w:t>Rev. </w:t>
      </w:r>
      <w:r>
        <w:rPr>
          <w:color w:val="231F20"/>
          <w:sz w:val="24"/>
        </w:rPr>
        <w:t>méd. Chile [Internet]. 2016 mayo [citado 2018 Ene 31]; 144(5): 577-584. Disponible en: https://scielo.conicyt.cl/scielo.php?script=sci_ arttext&amp;pid=S0034-98872016000500004&amp;lng=es.</w:t>
        <w:tab/>
      </w:r>
      <w:hyperlink r:id="rId20">
        <w:r>
          <w:rPr>
            <w:color w:val="231F20"/>
            <w:spacing w:val="-1"/>
            <w:sz w:val="24"/>
          </w:rPr>
          <w:t>http://dx.doi.org/10.4067/</w:t>
        </w:r>
      </w:hyperlink>
      <w:r>
        <w:rPr>
          <w:color w:val="231F20"/>
          <w:spacing w:val="-1"/>
          <w:sz w:val="24"/>
        </w:rPr>
        <w:t> </w:t>
      </w:r>
      <w:r>
        <w:rPr>
          <w:color w:val="231F20"/>
          <w:sz w:val="24"/>
        </w:rPr>
        <w:t>S0034-98872016000500004.</w:t>
      </w:r>
    </w:p>
    <w:p>
      <w:pPr>
        <w:pStyle w:val="ListParagraph"/>
        <w:numPr>
          <w:ilvl w:val="0"/>
          <w:numId w:val="1"/>
        </w:numPr>
        <w:tabs>
          <w:tab w:pos="515" w:val="left" w:leader="none"/>
        </w:tabs>
        <w:spacing w:line="249" w:lineRule="auto" w:before="121" w:after="0"/>
        <w:ind w:left="514" w:right="115" w:hanging="360"/>
        <w:jc w:val="both"/>
        <w:rPr>
          <w:sz w:val="24"/>
        </w:rPr>
      </w:pPr>
      <w:r>
        <w:rPr>
          <w:color w:val="231F20"/>
          <w:spacing w:val="-3"/>
          <w:sz w:val="24"/>
        </w:rPr>
        <w:t>Carmona-Torres</w:t>
      </w:r>
      <w:r>
        <w:rPr>
          <w:color w:val="231F20"/>
          <w:spacing w:val="-22"/>
          <w:sz w:val="24"/>
        </w:rPr>
        <w:t> </w:t>
      </w:r>
      <w:r>
        <w:rPr>
          <w:color w:val="231F20"/>
          <w:sz w:val="24"/>
        </w:rPr>
        <w:t>J,</w:t>
      </w:r>
      <w:r>
        <w:rPr>
          <w:color w:val="231F20"/>
          <w:spacing w:val="-21"/>
          <w:sz w:val="24"/>
        </w:rPr>
        <w:t> </w:t>
      </w:r>
      <w:r>
        <w:rPr>
          <w:color w:val="231F20"/>
          <w:sz w:val="24"/>
        </w:rPr>
        <w:t>Cangas</w:t>
      </w:r>
      <w:r>
        <w:rPr>
          <w:color w:val="231F20"/>
          <w:spacing w:val="-34"/>
          <w:sz w:val="24"/>
        </w:rPr>
        <w:t> </w:t>
      </w:r>
      <w:r>
        <w:rPr>
          <w:color w:val="231F20"/>
          <w:sz w:val="24"/>
        </w:rPr>
        <w:t>AJ,</w:t>
      </w:r>
      <w:r>
        <w:rPr>
          <w:color w:val="231F20"/>
          <w:spacing w:val="-21"/>
          <w:sz w:val="24"/>
        </w:rPr>
        <w:t> </w:t>
      </w:r>
      <w:r>
        <w:rPr>
          <w:color w:val="231F20"/>
          <w:sz w:val="24"/>
        </w:rPr>
        <w:t>Langer</w:t>
      </w:r>
      <w:r>
        <w:rPr>
          <w:color w:val="231F20"/>
          <w:spacing w:val="-20"/>
          <w:sz w:val="24"/>
        </w:rPr>
        <w:t> </w:t>
      </w:r>
      <w:r>
        <w:rPr>
          <w:color w:val="231F20"/>
          <w:sz w:val="24"/>
        </w:rPr>
        <w:t>ÁI,</w:t>
      </w:r>
      <w:r>
        <w:rPr>
          <w:color w:val="231F20"/>
          <w:spacing w:val="-34"/>
          <w:sz w:val="24"/>
        </w:rPr>
        <w:t> </w:t>
      </w:r>
      <w:r>
        <w:rPr>
          <w:color w:val="231F20"/>
          <w:sz w:val="24"/>
        </w:rPr>
        <w:t>Aguilar-Parra</w:t>
      </w:r>
      <w:r>
        <w:rPr>
          <w:color w:val="231F20"/>
          <w:spacing w:val="-20"/>
          <w:sz w:val="24"/>
        </w:rPr>
        <w:t> </w:t>
      </w:r>
      <w:r>
        <w:rPr>
          <w:color w:val="231F20"/>
          <w:sz w:val="24"/>
        </w:rPr>
        <w:t>J,</w:t>
      </w:r>
      <w:r>
        <w:rPr>
          <w:color w:val="231F20"/>
          <w:spacing w:val="-21"/>
          <w:sz w:val="24"/>
        </w:rPr>
        <w:t> </w:t>
      </w:r>
      <w:r>
        <w:rPr>
          <w:color w:val="231F20"/>
          <w:sz w:val="24"/>
        </w:rPr>
        <w:t>Gallego</w:t>
      </w:r>
      <w:r>
        <w:rPr>
          <w:color w:val="231F20"/>
          <w:spacing w:val="-20"/>
          <w:sz w:val="24"/>
        </w:rPr>
        <w:t> </w:t>
      </w:r>
      <w:r>
        <w:rPr>
          <w:color w:val="231F20"/>
          <w:sz w:val="24"/>
        </w:rPr>
        <w:t>J.</w:t>
      </w:r>
      <w:r>
        <w:rPr>
          <w:color w:val="231F20"/>
          <w:spacing w:val="-34"/>
          <w:sz w:val="24"/>
        </w:rPr>
        <w:t> </w:t>
      </w:r>
      <w:r>
        <w:rPr>
          <w:color w:val="231F20"/>
          <w:sz w:val="24"/>
        </w:rPr>
        <w:t>Acoso</w:t>
      </w:r>
      <w:r>
        <w:rPr>
          <w:color w:val="231F20"/>
          <w:spacing w:val="-21"/>
          <w:sz w:val="24"/>
        </w:rPr>
        <w:t> </w:t>
      </w:r>
      <w:r>
        <w:rPr>
          <w:color w:val="231F20"/>
          <w:sz w:val="24"/>
        </w:rPr>
        <w:t>escolar y su relación con el consumo de drogas y trastornos alimentarios: comparación entre</w:t>
      </w:r>
      <w:r>
        <w:rPr>
          <w:color w:val="231F20"/>
          <w:spacing w:val="-22"/>
          <w:sz w:val="24"/>
        </w:rPr>
        <w:t> </w:t>
      </w:r>
      <w:r>
        <w:rPr>
          <w:color w:val="231F20"/>
          <w:sz w:val="24"/>
        </w:rPr>
        <w:t>adolescentes</w:t>
      </w:r>
      <w:r>
        <w:rPr>
          <w:color w:val="231F20"/>
          <w:spacing w:val="-22"/>
          <w:sz w:val="24"/>
        </w:rPr>
        <w:t> </w:t>
      </w:r>
      <w:r>
        <w:rPr>
          <w:color w:val="231F20"/>
          <w:sz w:val="24"/>
        </w:rPr>
        <w:t>de</w:t>
      </w:r>
      <w:r>
        <w:rPr>
          <w:color w:val="231F20"/>
          <w:spacing w:val="-21"/>
          <w:sz w:val="24"/>
        </w:rPr>
        <w:t> </w:t>
      </w:r>
      <w:r>
        <w:rPr>
          <w:color w:val="231F20"/>
          <w:sz w:val="24"/>
        </w:rPr>
        <w:t>Chile</w:t>
      </w:r>
      <w:r>
        <w:rPr>
          <w:color w:val="231F20"/>
          <w:spacing w:val="-22"/>
          <w:sz w:val="24"/>
        </w:rPr>
        <w:t> </w:t>
      </w:r>
      <w:r>
        <w:rPr>
          <w:color w:val="231F20"/>
          <w:sz w:val="24"/>
        </w:rPr>
        <w:t>y</w:t>
      </w:r>
      <w:r>
        <w:rPr>
          <w:color w:val="231F20"/>
          <w:spacing w:val="-22"/>
          <w:sz w:val="24"/>
        </w:rPr>
        <w:t> </w:t>
      </w:r>
      <w:r>
        <w:rPr>
          <w:color w:val="231F20"/>
          <w:sz w:val="24"/>
        </w:rPr>
        <w:t>España.</w:t>
      </w:r>
      <w:r>
        <w:rPr>
          <w:color w:val="231F20"/>
          <w:spacing w:val="-21"/>
          <w:sz w:val="24"/>
        </w:rPr>
        <w:t> </w:t>
      </w:r>
      <w:r>
        <w:rPr>
          <w:color w:val="231F20"/>
          <w:sz w:val="24"/>
        </w:rPr>
        <w:t>Psicología</w:t>
      </w:r>
      <w:r>
        <w:rPr>
          <w:color w:val="231F20"/>
          <w:spacing w:val="-22"/>
          <w:sz w:val="24"/>
        </w:rPr>
        <w:t> </w:t>
      </w:r>
      <w:r>
        <w:rPr>
          <w:color w:val="231F20"/>
          <w:sz w:val="24"/>
        </w:rPr>
        <w:t>Conductual</w:t>
      </w:r>
      <w:r>
        <w:rPr>
          <w:color w:val="231F20"/>
          <w:spacing w:val="-22"/>
          <w:sz w:val="24"/>
        </w:rPr>
        <w:t> </w:t>
      </w:r>
      <w:r>
        <w:rPr>
          <w:color w:val="231F20"/>
          <w:sz w:val="24"/>
        </w:rPr>
        <w:t>2015;23(3):507-527.</w:t>
      </w:r>
    </w:p>
    <w:p>
      <w:pPr>
        <w:pStyle w:val="ListParagraph"/>
        <w:numPr>
          <w:ilvl w:val="0"/>
          <w:numId w:val="1"/>
        </w:numPr>
        <w:tabs>
          <w:tab w:pos="515" w:val="left" w:leader="none"/>
          <w:tab w:pos="6530" w:val="left" w:leader="none"/>
        </w:tabs>
        <w:spacing w:line="249" w:lineRule="auto" w:before="116" w:after="0"/>
        <w:ind w:left="514" w:right="114" w:hanging="360"/>
        <w:jc w:val="both"/>
        <w:rPr>
          <w:sz w:val="24"/>
        </w:rPr>
      </w:pPr>
      <w:r>
        <w:rPr>
          <w:color w:val="231F20"/>
          <w:sz w:val="24"/>
        </w:rPr>
        <w:t>Morello Paola, Pérez Adriana, Peña Lorena, Braun Sandra N, Kollath-Cattano </w:t>
      </w:r>
      <w:r>
        <w:rPr>
          <w:color w:val="231F20"/>
          <w:spacing w:val="-3"/>
          <w:sz w:val="24"/>
        </w:rPr>
        <w:t>Christy, </w:t>
      </w:r>
      <w:r>
        <w:rPr>
          <w:color w:val="231F20"/>
          <w:sz w:val="24"/>
        </w:rPr>
        <w:t>Thrasher James F et al. Factores de riesgo asociados al consumo de tabaco, alcohol y otras drogas en adolescentes escolarizados de tres ciudades de Argentina. Arch. argent. </w:t>
      </w:r>
      <w:r>
        <w:rPr>
          <w:color w:val="231F20"/>
          <w:spacing w:val="-3"/>
          <w:sz w:val="24"/>
        </w:rPr>
        <w:t>pediatr. </w:t>
      </w:r>
      <w:r>
        <w:rPr>
          <w:color w:val="231F20"/>
          <w:sz w:val="24"/>
        </w:rPr>
        <w:t>[Internet]. 2017 Abr [citado 2018 Ene 31]; </w:t>
      </w:r>
      <w:r>
        <w:rPr>
          <w:color w:val="231F20"/>
          <w:spacing w:val="-4"/>
          <w:sz w:val="24"/>
        </w:rPr>
        <w:t>115(2):</w:t>
      </w:r>
      <w:r>
        <w:rPr>
          <w:color w:val="231F20"/>
          <w:spacing w:val="58"/>
          <w:sz w:val="24"/>
        </w:rPr>
        <w:t> </w:t>
      </w:r>
      <w:r>
        <w:rPr>
          <w:color w:val="231F20"/>
          <w:sz w:val="24"/>
        </w:rPr>
        <w:t>155-159. Disponible en: </w:t>
      </w:r>
      <w:hyperlink r:id="rId21">
        <w:r>
          <w:rPr>
            <w:color w:val="231F20"/>
            <w:sz w:val="24"/>
          </w:rPr>
          <w:t>http://www.scielo.org.ar/scielo.php?script=sci_</w:t>
        </w:r>
      </w:hyperlink>
      <w:r>
        <w:rPr>
          <w:color w:val="231F20"/>
          <w:sz w:val="24"/>
        </w:rPr>
        <w:t> arttext&amp;pid=S0325-00752017000200009&amp;lng=es.</w:t>
        <w:tab/>
      </w:r>
      <w:hyperlink r:id="rId22">
        <w:r>
          <w:rPr>
            <w:color w:val="231F20"/>
            <w:spacing w:val="-1"/>
            <w:sz w:val="24"/>
          </w:rPr>
          <w:t>http://dx.doi.org/10.5546/</w:t>
        </w:r>
      </w:hyperlink>
      <w:r>
        <w:rPr>
          <w:color w:val="231F20"/>
          <w:spacing w:val="-1"/>
          <w:sz w:val="24"/>
        </w:rPr>
        <w:t> </w:t>
      </w:r>
      <w:r>
        <w:rPr>
          <w:color w:val="231F20"/>
          <w:sz w:val="24"/>
        </w:rPr>
        <w:t>aap.2017.155.</w:t>
      </w:r>
    </w:p>
    <w:p>
      <w:pPr>
        <w:pStyle w:val="ListParagraph"/>
        <w:numPr>
          <w:ilvl w:val="0"/>
          <w:numId w:val="1"/>
        </w:numPr>
        <w:tabs>
          <w:tab w:pos="515" w:val="left" w:leader="none"/>
        </w:tabs>
        <w:spacing w:line="249" w:lineRule="auto" w:before="120" w:after="0"/>
        <w:ind w:left="514" w:right="114" w:hanging="360"/>
        <w:jc w:val="both"/>
        <w:rPr>
          <w:sz w:val="24"/>
        </w:rPr>
      </w:pPr>
      <w:r>
        <w:rPr>
          <w:color w:val="231F20"/>
          <w:sz w:val="24"/>
        </w:rPr>
        <w:t>Moreno C, Ramos </w:t>
      </w:r>
      <w:r>
        <w:rPr>
          <w:color w:val="231F20"/>
          <w:spacing w:val="-16"/>
          <w:sz w:val="24"/>
        </w:rPr>
        <w:t>P, </w:t>
      </w:r>
      <w:r>
        <w:rPr>
          <w:color w:val="231F20"/>
          <w:sz w:val="24"/>
        </w:rPr>
        <w:t>Rivera F et al. Los adolescentes españoles: estilos de vida, salud, ajuste psicológico y relaciones en sus contextos de desarrollo. Resultados del Estudio HBSC2014 en España. Ministerio de Sanidad, Servicios Sociales e Igualdad,</w:t>
      </w:r>
      <w:r>
        <w:rPr>
          <w:color w:val="231F20"/>
          <w:spacing w:val="-1"/>
          <w:sz w:val="24"/>
        </w:rPr>
        <w:t> </w:t>
      </w:r>
      <w:r>
        <w:rPr>
          <w:color w:val="231F20"/>
          <w:sz w:val="24"/>
        </w:rPr>
        <w:t>2016.</w:t>
      </w:r>
    </w:p>
    <w:p>
      <w:pPr>
        <w:pStyle w:val="ListParagraph"/>
        <w:numPr>
          <w:ilvl w:val="0"/>
          <w:numId w:val="1"/>
        </w:numPr>
        <w:tabs>
          <w:tab w:pos="515" w:val="left" w:leader="none"/>
        </w:tabs>
        <w:spacing w:line="249" w:lineRule="auto" w:before="118" w:after="0"/>
        <w:ind w:left="514" w:right="114" w:hanging="360"/>
        <w:jc w:val="both"/>
        <w:rPr>
          <w:sz w:val="24"/>
        </w:rPr>
      </w:pPr>
      <w:r>
        <w:rPr>
          <w:color w:val="231F20"/>
          <w:sz w:val="24"/>
        </w:rPr>
        <w:t>Instituto Nacional de Estadística y Censos INEC. Proyecciones de Población. Observatorio Social del Ecuador (2014) “La niñez y adolescencia en el Ecuador contemporáneo: alcances y brechas en el ejercicio de</w:t>
      </w:r>
      <w:r>
        <w:rPr>
          <w:color w:val="231F20"/>
          <w:spacing w:val="-14"/>
          <w:sz w:val="24"/>
        </w:rPr>
        <w:t> </w:t>
      </w:r>
      <w:r>
        <w:rPr>
          <w:color w:val="231F20"/>
          <w:sz w:val="24"/>
        </w:rPr>
        <w:t>derechos”.</w:t>
      </w:r>
    </w:p>
    <w:p>
      <w:pPr>
        <w:pStyle w:val="ListParagraph"/>
        <w:numPr>
          <w:ilvl w:val="0"/>
          <w:numId w:val="1"/>
        </w:numPr>
        <w:tabs>
          <w:tab w:pos="515" w:val="left" w:leader="none"/>
        </w:tabs>
        <w:spacing w:line="249" w:lineRule="auto" w:before="116" w:after="0"/>
        <w:ind w:left="514" w:right="117" w:hanging="360"/>
        <w:jc w:val="both"/>
        <w:rPr>
          <w:sz w:val="24"/>
        </w:rPr>
      </w:pPr>
      <w:r>
        <w:rPr>
          <w:color w:val="231F20"/>
          <w:sz w:val="24"/>
        </w:rPr>
        <w:t>Unicef-Ecuador. Situación de la niñez: datos demográficos. 2014. Disponible en </w:t>
      </w:r>
      <w:hyperlink r:id="rId23">
        <w:r>
          <w:rPr>
            <w:color w:val="231F20"/>
            <w:sz w:val="24"/>
          </w:rPr>
          <w:t>https://www.unicef.org/ecuador/children_28772.html</w:t>
        </w:r>
      </w:hyperlink>
    </w:p>
    <w:p>
      <w:pPr>
        <w:pStyle w:val="ListParagraph"/>
        <w:numPr>
          <w:ilvl w:val="0"/>
          <w:numId w:val="1"/>
        </w:numPr>
        <w:tabs>
          <w:tab w:pos="515" w:val="left" w:leader="none"/>
        </w:tabs>
        <w:spacing w:line="249" w:lineRule="auto" w:before="115" w:after="0"/>
        <w:ind w:left="514" w:right="114" w:hanging="360"/>
        <w:jc w:val="both"/>
        <w:rPr>
          <w:sz w:val="24"/>
        </w:rPr>
      </w:pPr>
      <w:r>
        <w:rPr>
          <w:color w:val="231F20"/>
          <w:sz w:val="24"/>
        </w:rPr>
        <w:t>Unicef-Ecuador. La niñez y adolescencia en el Ecuador contemporáneo. 2014. Observatorio Social del Ecuador. Disponible en </w:t>
      </w:r>
      <w:hyperlink r:id="rId24">
        <w:r>
          <w:rPr>
            <w:color w:val="231F20"/>
            <w:sz w:val="24"/>
          </w:rPr>
          <w:t>https://www.unicef.org/ecuador/</w:t>
        </w:r>
      </w:hyperlink>
      <w:r>
        <w:rPr>
          <w:color w:val="231F20"/>
          <w:sz w:val="24"/>
        </w:rPr>
        <w:t> NA_Ecuador_Contemporaneo.pdf</w:t>
      </w:r>
    </w:p>
    <w:p>
      <w:pPr>
        <w:pStyle w:val="ListParagraph"/>
        <w:numPr>
          <w:ilvl w:val="0"/>
          <w:numId w:val="1"/>
        </w:numPr>
        <w:tabs>
          <w:tab w:pos="515" w:val="left" w:leader="none"/>
        </w:tabs>
        <w:spacing w:line="249" w:lineRule="auto" w:before="117" w:after="0"/>
        <w:ind w:left="514" w:right="112" w:hanging="360"/>
        <w:jc w:val="both"/>
        <w:rPr>
          <w:sz w:val="24"/>
        </w:rPr>
      </w:pPr>
      <w:r>
        <w:rPr>
          <w:color w:val="231F20"/>
          <w:sz w:val="24"/>
        </w:rPr>
        <w:t>Fuentes María C., Alarcón Antonio, García Fernando, Gracia Enrique. Use of alcohol, tobacco, cannabis and other drugs in adolescence: effects of family and neighborhood.</w:t>
      </w:r>
      <w:r>
        <w:rPr>
          <w:color w:val="231F20"/>
          <w:spacing w:val="-25"/>
          <w:sz w:val="24"/>
        </w:rPr>
        <w:t> </w:t>
      </w:r>
      <w:r>
        <w:rPr>
          <w:color w:val="231F20"/>
          <w:sz w:val="24"/>
        </w:rPr>
        <w:t>Anal.</w:t>
      </w:r>
      <w:r>
        <w:rPr>
          <w:color w:val="231F20"/>
          <w:spacing w:val="-13"/>
          <w:sz w:val="24"/>
        </w:rPr>
        <w:t> </w:t>
      </w:r>
      <w:r>
        <w:rPr>
          <w:color w:val="231F20"/>
          <w:sz w:val="24"/>
        </w:rPr>
        <w:t>Psicol.</w:t>
      </w:r>
      <w:r>
        <w:rPr>
          <w:color w:val="231F20"/>
          <w:spacing w:val="42"/>
          <w:sz w:val="24"/>
        </w:rPr>
        <w:t> </w:t>
      </w:r>
      <w:r>
        <w:rPr>
          <w:color w:val="231F20"/>
          <w:sz w:val="24"/>
        </w:rPr>
        <w:t>[Internet].</w:t>
      </w:r>
      <w:r>
        <w:rPr>
          <w:color w:val="231F20"/>
          <w:spacing w:val="-13"/>
          <w:sz w:val="24"/>
        </w:rPr>
        <w:t> </w:t>
      </w:r>
      <w:r>
        <w:rPr>
          <w:color w:val="231F20"/>
          <w:sz w:val="24"/>
        </w:rPr>
        <w:t>2015</w:t>
      </w:r>
      <w:r>
        <w:rPr>
          <w:color w:val="231F20"/>
          <w:spacing w:val="-12"/>
          <w:sz w:val="24"/>
        </w:rPr>
        <w:t> </w:t>
      </w:r>
      <w:r>
        <w:rPr>
          <w:color w:val="231F20"/>
          <w:sz w:val="24"/>
        </w:rPr>
        <w:t>Oct</w:t>
      </w:r>
      <w:r>
        <w:rPr>
          <w:color w:val="231F20"/>
          <w:spacing w:val="-13"/>
          <w:sz w:val="24"/>
        </w:rPr>
        <w:t> </w:t>
      </w:r>
      <w:r>
        <w:rPr>
          <w:color w:val="231F20"/>
          <w:sz w:val="24"/>
        </w:rPr>
        <w:t>[citado</w:t>
      </w:r>
      <w:r>
        <w:rPr>
          <w:color w:val="231F20"/>
          <w:spacing w:val="-12"/>
          <w:sz w:val="24"/>
        </w:rPr>
        <w:t> </w:t>
      </w:r>
      <w:r>
        <w:rPr>
          <w:color w:val="231F20"/>
          <w:sz w:val="24"/>
        </w:rPr>
        <w:t>2018</w:t>
      </w:r>
      <w:r>
        <w:rPr>
          <w:color w:val="231F20"/>
          <w:spacing w:val="-13"/>
          <w:sz w:val="24"/>
        </w:rPr>
        <w:t> </w:t>
      </w:r>
      <w:r>
        <w:rPr>
          <w:color w:val="231F20"/>
          <w:sz w:val="24"/>
        </w:rPr>
        <w:t>Feb</w:t>
      </w:r>
      <w:r>
        <w:rPr>
          <w:color w:val="231F20"/>
          <w:spacing w:val="-12"/>
          <w:sz w:val="24"/>
        </w:rPr>
        <w:t> </w:t>
      </w:r>
      <w:r>
        <w:rPr>
          <w:color w:val="231F20"/>
          <w:sz w:val="24"/>
        </w:rPr>
        <w:t>01];</w:t>
      </w:r>
      <w:r>
        <w:rPr>
          <w:color w:val="231F20"/>
          <w:spacing w:val="-12"/>
          <w:sz w:val="24"/>
        </w:rPr>
        <w:t> </w:t>
      </w:r>
      <w:r>
        <w:rPr>
          <w:color w:val="231F20"/>
          <w:sz w:val="24"/>
        </w:rPr>
        <w:t>31(3):</w:t>
      </w:r>
      <w:r>
        <w:rPr>
          <w:color w:val="231F20"/>
          <w:spacing w:val="-13"/>
          <w:sz w:val="24"/>
        </w:rPr>
        <w:t> </w:t>
      </w:r>
      <w:r>
        <w:rPr>
          <w:color w:val="231F20"/>
          <w:sz w:val="24"/>
        </w:rPr>
        <w:t>1000- 1007.</w:t>
      </w:r>
      <w:r>
        <w:rPr>
          <w:color w:val="231F20"/>
          <w:spacing w:val="-53"/>
          <w:sz w:val="24"/>
        </w:rPr>
        <w:t> </w:t>
      </w:r>
      <w:r>
        <w:rPr>
          <w:color w:val="231F20"/>
          <w:sz w:val="24"/>
        </w:rPr>
        <w:t>Disponible</w:t>
      </w:r>
      <w:r>
        <w:rPr>
          <w:color w:val="231F20"/>
          <w:spacing w:val="-52"/>
          <w:sz w:val="24"/>
        </w:rPr>
        <w:t> </w:t>
      </w:r>
      <w:r>
        <w:rPr>
          <w:color w:val="231F20"/>
          <w:sz w:val="24"/>
        </w:rPr>
        <w:t>en:</w:t>
      </w:r>
      <w:r>
        <w:rPr>
          <w:color w:val="231F20"/>
          <w:spacing w:val="-52"/>
          <w:sz w:val="24"/>
        </w:rPr>
        <w:t> </w:t>
      </w:r>
      <w:hyperlink r:id="rId25">
        <w:r>
          <w:rPr>
            <w:color w:val="231F20"/>
            <w:sz w:val="24"/>
          </w:rPr>
          <w:t>http://scielo.isciii.es/scielo.php?script=sci_arttext&amp;pid=S0212-</w:t>
        </w:r>
      </w:hyperlink>
      <w:r>
        <w:rPr>
          <w:color w:val="231F20"/>
          <w:sz w:val="24"/>
        </w:rPr>
        <w:t> 97282015000300026&amp;lng=es.</w:t>
      </w:r>
      <w:r>
        <w:rPr>
          <w:color w:val="231F20"/>
          <w:spacing w:val="46"/>
          <w:sz w:val="24"/>
        </w:rPr>
        <w:t> </w:t>
      </w:r>
      <w:hyperlink r:id="rId26">
        <w:r>
          <w:rPr>
            <w:color w:val="231F20"/>
            <w:sz w:val="24"/>
          </w:rPr>
          <w:t>http://dx.doi.org/10.6018/analesps.31.3.183491.</w:t>
        </w:r>
      </w:hyperlink>
    </w:p>
    <w:p>
      <w:pPr>
        <w:pStyle w:val="ListParagraph"/>
        <w:numPr>
          <w:ilvl w:val="0"/>
          <w:numId w:val="1"/>
        </w:numPr>
        <w:tabs>
          <w:tab w:pos="515" w:val="left" w:leader="none"/>
        </w:tabs>
        <w:spacing w:line="249" w:lineRule="auto" w:before="118" w:after="0"/>
        <w:ind w:left="514" w:right="115" w:hanging="360"/>
        <w:jc w:val="both"/>
        <w:rPr>
          <w:sz w:val="24"/>
        </w:rPr>
      </w:pPr>
      <w:r>
        <w:rPr>
          <w:color w:val="231F20"/>
          <w:sz w:val="24"/>
        </w:rPr>
        <w:t>Jáuregui</w:t>
      </w:r>
      <w:r>
        <w:rPr>
          <w:color w:val="231F20"/>
          <w:spacing w:val="-5"/>
          <w:sz w:val="24"/>
        </w:rPr>
        <w:t> </w:t>
      </w:r>
      <w:r>
        <w:rPr>
          <w:color w:val="231F20"/>
          <w:sz w:val="24"/>
        </w:rPr>
        <w:t>Lobera</w:t>
      </w:r>
      <w:r>
        <w:rPr>
          <w:color w:val="231F20"/>
          <w:spacing w:val="-5"/>
          <w:sz w:val="24"/>
        </w:rPr>
        <w:t> </w:t>
      </w:r>
      <w:r>
        <w:rPr>
          <w:color w:val="231F20"/>
          <w:sz w:val="24"/>
        </w:rPr>
        <w:t>I.</w:t>
      </w:r>
      <w:r>
        <w:rPr>
          <w:color w:val="231F20"/>
          <w:spacing w:val="-5"/>
          <w:sz w:val="24"/>
        </w:rPr>
        <w:t> </w:t>
      </w:r>
      <w:r>
        <w:rPr>
          <w:color w:val="231F20"/>
          <w:sz w:val="24"/>
        </w:rPr>
        <w:t>Modas</w:t>
      </w:r>
      <w:r>
        <w:rPr>
          <w:color w:val="231F20"/>
          <w:spacing w:val="-5"/>
          <w:sz w:val="24"/>
        </w:rPr>
        <w:t> </w:t>
      </w:r>
      <w:r>
        <w:rPr>
          <w:color w:val="231F20"/>
          <w:sz w:val="24"/>
        </w:rPr>
        <w:t>y</w:t>
      </w:r>
      <w:r>
        <w:rPr>
          <w:color w:val="231F20"/>
          <w:spacing w:val="-6"/>
          <w:sz w:val="24"/>
        </w:rPr>
        <w:t> </w:t>
      </w:r>
      <w:r>
        <w:rPr>
          <w:color w:val="231F20"/>
          <w:sz w:val="24"/>
        </w:rPr>
        <w:t>modelos</w:t>
      </w:r>
      <w:r>
        <w:rPr>
          <w:color w:val="231F20"/>
          <w:spacing w:val="-5"/>
          <w:sz w:val="24"/>
        </w:rPr>
        <w:t> </w:t>
      </w:r>
      <w:r>
        <w:rPr>
          <w:color w:val="231F20"/>
          <w:sz w:val="24"/>
        </w:rPr>
        <w:t>sociales</w:t>
      </w:r>
      <w:r>
        <w:rPr>
          <w:color w:val="231F20"/>
          <w:spacing w:val="-4"/>
          <w:sz w:val="24"/>
        </w:rPr>
        <w:t> </w:t>
      </w:r>
      <w:r>
        <w:rPr>
          <w:color w:val="231F20"/>
          <w:sz w:val="24"/>
        </w:rPr>
        <w:t>en</w:t>
      </w:r>
      <w:r>
        <w:rPr>
          <w:color w:val="231F20"/>
          <w:spacing w:val="-6"/>
          <w:sz w:val="24"/>
        </w:rPr>
        <w:t> </w:t>
      </w:r>
      <w:r>
        <w:rPr>
          <w:color w:val="231F20"/>
          <w:sz w:val="24"/>
        </w:rPr>
        <w:t>salud</w:t>
      </w:r>
      <w:r>
        <w:rPr>
          <w:color w:val="231F20"/>
          <w:spacing w:val="-6"/>
          <w:sz w:val="24"/>
        </w:rPr>
        <w:t> </w:t>
      </w:r>
      <w:r>
        <w:rPr>
          <w:color w:val="231F20"/>
          <w:sz w:val="24"/>
        </w:rPr>
        <w:t>mental:</w:t>
      </w:r>
      <w:r>
        <w:rPr>
          <w:color w:val="231F20"/>
          <w:spacing w:val="-5"/>
          <w:sz w:val="24"/>
        </w:rPr>
        <w:t> </w:t>
      </w:r>
      <w:r>
        <w:rPr>
          <w:color w:val="231F20"/>
          <w:sz w:val="24"/>
        </w:rPr>
        <w:t>anorexia</w:t>
      </w:r>
      <w:r>
        <w:rPr>
          <w:color w:val="231F20"/>
          <w:spacing w:val="-5"/>
          <w:sz w:val="24"/>
        </w:rPr>
        <w:t> </w:t>
      </w:r>
      <w:r>
        <w:rPr>
          <w:color w:val="231F20"/>
          <w:sz w:val="24"/>
        </w:rPr>
        <w:t>y</w:t>
      </w:r>
      <w:r>
        <w:rPr>
          <w:color w:val="231F20"/>
          <w:spacing w:val="-6"/>
          <w:sz w:val="24"/>
        </w:rPr>
        <w:t> </w:t>
      </w:r>
      <w:r>
        <w:rPr>
          <w:color w:val="231F20"/>
          <w:sz w:val="24"/>
        </w:rPr>
        <w:t>bulimia. Trastornos</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4"/>
          <w:sz w:val="24"/>
        </w:rPr>
        <w:t> </w:t>
      </w:r>
      <w:r>
        <w:rPr>
          <w:color w:val="231F20"/>
          <w:sz w:val="24"/>
        </w:rPr>
        <w:t>Conducta</w:t>
      </w:r>
      <w:r>
        <w:rPr>
          <w:color w:val="231F20"/>
          <w:spacing w:val="-17"/>
          <w:sz w:val="24"/>
        </w:rPr>
        <w:t> </w:t>
      </w:r>
      <w:r>
        <w:rPr>
          <w:color w:val="231F20"/>
          <w:sz w:val="24"/>
        </w:rPr>
        <w:t>Alimentaria</w:t>
      </w:r>
      <w:r>
        <w:rPr>
          <w:color w:val="231F20"/>
          <w:spacing w:val="-4"/>
          <w:sz w:val="24"/>
        </w:rPr>
        <w:t> </w:t>
      </w:r>
      <w:r>
        <w:rPr>
          <w:color w:val="231F20"/>
          <w:sz w:val="24"/>
        </w:rPr>
        <w:t>23</w:t>
      </w:r>
      <w:r>
        <w:rPr>
          <w:color w:val="231F20"/>
          <w:spacing w:val="-4"/>
          <w:sz w:val="24"/>
        </w:rPr>
        <w:t> </w:t>
      </w:r>
      <w:r>
        <w:rPr>
          <w:color w:val="231F20"/>
          <w:sz w:val="24"/>
        </w:rPr>
        <w:t>(2016)</w:t>
      </w:r>
      <w:r>
        <w:rPr>
          <w:color w:val="231F20"/>
          <w:spacing w:val="-5"/>
          <w:sz w:val="24"/>
        </w:rPr>
        <w:t> </w:t>
      </w:r>
      <w:r>
        <w:rPr>
          <w:color w:val="231F20"/>
          <w:sz w:val="24"/>
        </w:rPr>
        <w:t>2489-2501.</w:t>
      </w:r>
      <w:r>
        <w:rPr>
          <w:color w:val="231F20"/>
          <w:spacing w:val="-4"/>
          <w:sz w:val="24"/>
        </w:rPr>
        <w:t> </w:t>
      </w:r>
      <w:r>
        <w:rPr>
          <w:color w:val="231F20"/>
          <w:sz w:val="24"/>
        </w:rPr>
        <w:t>Instituto</w:t>
      </w:r>
      <w:r>
        <w:rPr>
          <w:color w:val="231F20"/>
          <w:spacing w:val="-5"/>
          <w:sz w:val="24"/>
        </w:rPr>
        <w:t> </w:t>
      </w:r>
      <w:r>
        <w:rPr>
          <w:color w:val="231F20"/>
          <w:sz w:val="24"/>
        </w:rPr>
        <w:t>de</w:t>
      </w:r>
      <w:r>
        <w:rPr>
          <w:color w:val="231F20"/>
          <w:spacing w:val="-4"/>
          <w:sz w:val="24"/>
        </w:rPr>
        <w:t> </w:t>
      </w:r>
      <w:r>
        <w:rPr>
          <w:color w:val="231F20"/>
          <w:sz w:val="24"/>
        </w:rPr>
        <w:t>Ciencias de</w:t>
      </w:r>
      <w:r>
        <w:rPr>
          <w:color w:val="231F20"/>
          <w:spacing w:val="-13"/>
          <w:sz w:val="24"/>
        </w:rPr>
        <w:t> </w:t>
      </w:r>
      <w:r>
        <w:rPr>
          <w:color w:val="231F20"/>
          <w:sz w:val="24"/>
        </w:rPr>
        <w:t>la</w:t>
      </w:r>
      <w:r>
        <w:rPr>
          <w:color w:val="231F20"/>
          <w:spacing w:val="-13"/>
          <w:sz w:val="24"/>
        </w:rPr>
        <w:t> </w:t>
      </w:r>
      <w:r>
        <w:rPr>
          <w:color w:val="231F20"/>
          <w:sz w:val="24"/>
        </w:rPr>
        <w:t>Conducta.</w:t>
      </w:r>
      <w:r>
        <w:rPr>
          <w:color w:val="231F20"/>
          <w:spacing w:val="-13"/>
          <w:sz w:val="24"/>
        </w:rPr>
        <w:t> </w:t>
      </w:r>
      <w:r>
        <w:rPr>
          <w:color w:val="231F20"/>
          <w:sz w:val="24"/>
        </w:rPr>
        <w:t>Sevilla-España.</w:t>
      </w:r>
      <w:r>
        <w:rPr>
          <w:color w:val="231F20"/>
          <w:spacing w:val="-13"/>
          <w:sz w:val="24"/>
        </w:rPr>
        <w:t> </w:t>
      </w:r>
      <w:r>
        <w:rPr>
          <w:color w:val="231F20"/>
          <w:sz w:val="24"/>
        </w:rPr>
        <w:t>Disponible</w:t>
      </w:r>
      <w:r>
        <w:rPr>
          <w:color w:val="231F20"/>
          <w:spacing w:val="-12"/>
          <w:sz w:val="24"/>
        </w:rPr>
        <w:t> </w:t>
      </w:r>
      <w:r>
        <w:rPr>
          <w:color w:val="231F20"/>
          <w:sz w:val="24"/>
        </w:rPr>
        <w:t>en</w:t>
      </w:r>
      <w:r>
        <w:rPr>
          <w:color w:val="231F20"/>
          <w:spacing w:val="-13"/>
          <w:sz w:val="24"/>
        </w:rPr>
        <w:t> </w:t>
      </w:r>
      <w:hyperlink r:id="rId27">
        <w:r>
          <w:rPr>
            <w:color w:val="231F20"/>
            <w:sz w:val="24"/>
          </w:rPr>
          <w:t>http://www.tcasevilla.com/archivos/</w:t>
        </w:r>
      </w:hyperlink>
      <w:r>
        <w:rPr>
          <w:color w:val="231F20"/>
          <w:sz w:val="24"/>
        </w:rPr>
        <w:t> moda_y_tca.pdf</w:t>
      </w:r>
    </w:p>
    <w:p>
      <w:pPr>
        <w:pStyle w:val="ListParagraph"/>
        <w:numPr>
          <w:ilvl w:val="0"/>
          <w:numId w:val="1"/>
        </w:numPr>
        <w:tabs>
          <w:tab w:pos="515" w:val="left" w:leader="none"/>
        </w:tabs>
        <w:spacing w:line="249" w:lineRule="auto" w:before="117" w:after="0"/>
        <w:ind w:left="514" w:right="114" w:hanging="360"/>
        <w:jc w:val="both"/>
        <w:rPr>
          <w:sz w:val="24"/>
        </w:rPr>
      </w:pPr>
      <w:r>
        <w:rPr>
          <w:color w:val="231F20"/>
          <w:sz w:val="24"/>
        </w:rPr>
        <w:t>Oliveira Wanderlei Abadio de, Silva Marta Angélica Iossi, Mello Flávia Carvalho Malta</w:t>
      </w:r>
      <w:r>
        <w:rPr>
          <w:color w:val="231F20"/>
          <w:spacing w:val="-10"/>
          <w:sz w:val="24"/>
        </w:rPr>
        <w:t> </w:t>
      </w:r>
      <w:r>
        <w:rPr>
          <w:color w:val="231F20"/>
          <w:sz w:val="24"/>
        </w:rPr>
        <w:t>de,</w:t>
      </w:r>
      <w:r>
        <w:rPr>
          <w:color w:val="231F20"/>
          <w:spacing w:val="-10"/>
          <w:sz w:val="24"/>
        </w:rPr>
        <w:t> </w:t>
      </w:r>
      <w:r>
        <w:rPr>
          <w:color w:val="231F20"/>
          <w:sz w:val="24"/>
        </w:rPr>
        <w:t>Porto</w:t>
      </w:r>
      <w:r>
        <w:rPr>
          <w:color w:val="231F20"/>
          <w:spacing w:val="-10"/>
          <w:sz w:val="24"/>
        </w:rPr>
        <w:t> </w:t>
      </w:r>
      <w:r>
        <w:rPr>
          <w:color w:val="231F20"/>
          <w:sz w:val="24"/>
        </w:rPr>
        <w:t>Denise</w:t>
      </w:r>
      <w:r>
        <w:rPr>
          <w:color w:val="231F20"/>
          <w:spacing w:val="-10"/>
          <w:sz w:val="24"/>
        </w:rPr>
        <w:t> </w:t>
      </w:r>
      <w:r>
        <w:rPr>
          <w:color w:val="231F20"/>
          <w:sz w:val="24"/>
        </w:rPr>
        <w:t>Lopes,</w:t>
      </w:r>
      <w:r>
        <w:rPr>
          <w:color w:val="231F20"/>
          <w:spacing w:val="-15"/>
          <w:sz w:val="24"/>
        </w:rPr>
        <w:t> </w:t>
      </w:r>
      <w:r>
        <w:rPr>
          <w:color w:val="231F20"/>
          <w:spacing w:val="-4"/>
          <w:sz w:val="24"/>
        </w:rPr>
        <w:t>Yoshinaga</w:t>
      </w:r>
      <w:r>
        <w:rPr>
          <w:color w:val="231F20"/>
          <w:spacing w:val="-22"/>
          <w:sz w:val="24"/>
        </w:rPr>
        <w:t> </w:t>
      </w:r>
      <w:r>
        <w:rPr>
          <w:color w:val="231F20"/>
          <w:sz w:val="24"/>
        </w:rPr>
        <w:t>Andréa</w:t>
      </w:r>
      <w:r>
        <w:rPr>
          <w:color w:val="231F20"/>
          <w:spacing w:val="-10"/>
          <w:sz w:val="24"/>
        </w:rPr>
        <w:t> </w:t>
      </w:r>
      <w:r>
        <w:rPr>
          <w:color w:val="231F20"/>
          <w:sz w:val="24"/>
        </w:rPr>
        <w:t>Cristina</w:t>
      </w:r>
      <w:r>
        <w:rPr>
          <w:color w:val="231F20"/>
          <w:spacing w:val="-10"/>
          <w:sz w:val="24"/>
        </w:rPr>
        <w:t> </w:t>
      </w:r>
      <w:r>
        <w:rPr>
          <w:color w:val="231F20"/>
          <w:sz w:val="24"/>
        </w:rPr>
        <w:t>Mariano,</w:t>
      </w:r>
      <w:r>
        <w:rPr>
          <w:color w:val="231F20"/>
          <w:spacing w:val="-10"/>
          <w:sz w:val="24"/>
        </w:rPr>
        <w:t> </w:t>
      </w:r>
      <w:r>
        <w:rPr>
          <w:color w:val="231F20"/>
          <w:sz w:val="24"/>
        </w:rPr>
        <w:t>Malta</w:t>
      </w:r>
      <w:r>
        <w:rPr>
          <w:color w:val="231F20"/>
          <w:spacing w:val="-10"/>
          <w:sz w:val="24"/>
        </w:rPr>
        <w:t> </w:t>
      </w:r>
      <w:r>
        <w:rPr>
          <w:color w:val="231F20"/>
          <w:sz w:val="24"/>
        </w:rPr>
        <w:t>Deborah</w:t>
      </w:r>
    </w:p>
    <w:p>
      <w:pPr>
        <w:spacing w:after="0" w:line="249" w:lineRule="auto"/>
        <w:jc w:val="both"/>
        <w:rPr>
          <w:sz w:val="24"/>
        </w:rPr>
        <w:sectPr>
          <w:pgSz w:w="11910" w:h="16840"/>
          <w:pgMar w:header="581" w:footer="1333" w:top="1240" w:bottom="1520" w:left="1300" w:right="1300"/>
        </w:sectPr>
      </w:pPr>
    </w:p>
    <w:p>
      <w:pPr>
        <w:pStyle w:val="BodyText"/>
        <w:spacing w:before="2"/>
        <w:rPr>
          <w:sz w:val="17"/>
        </w:rPr>
      </w:pPr>
    </w:p>
    <w:p>
      <w:pPr>
        <w:pStyle w:val="BodyText"/>
        <w:spacing w:line="249" w:lineRule="auto" w:before="92"/>
        <w:ind w:left="514" w:right="114"/>
        <w:jc w:val="both"/>
      </w:pPr>
      <w:r>
        <w:rPr>
          <w:color w:val="231F20"/>
        </w:rPr>
        <w:t>Carvalho.</w:t>
      </w:r>
      <w:r>
        <w:rPr>
          <w:color w:val="231F20"/>
          <w:spacing w:val="-9"/>
        </w:rPr>
        <w:t> </w:t>
      </w:r>
      <w:r>
        <w:rPr>
          <w:color w:val="231F20"/>
        </w:rPr>
        <w:t>Causas</w:t>
      </w:r>
      <w:r>
        <w:rPr>
          <w:color w:val="231F20"/>
          <w:spacing w:val="-9"/>
        </w:rPr>
        <w:t> </w:t>
      </w:r>
      <w:r>
        <w:rPr>
          <w:color w:val="231F20"/>
        </w:rPr>
        <w:t>del</w:t>
      </w:r>
      <w:r>
        <w:rPr>
          <w:color w:val="231F20"/>
          <w:spacing w:val="-9"/>
        </w:rPr>
        <w:t> </w:t>
      </w:r>
      <w:r>
        <w:rPr>
          <w:color w:val="231F20"/>
        </w:rPr>
        <w:t>bullying:</w:t>
      </w:r>
      <w:r>
        <w:rPr>
          <w:color w:val="231F20"/>
          <w:spacing w:val="-9"/>
        </w:rPr>
        <w:t> </w:t>
      </w:r>
      <w:r>
        <w:rPr>
          <w:color w:val="231F20"/>
        </w:rPr>
        <w:t>resultados</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Investigación</w:t>
      </w:r>
      <w:r>
        <w:rPr>
          <w:color w:val="231F20"/>
          <w:spacing w:val="-9"/>
        </w:rPr>
        <w:t> </w:t>
      </w:r>
      <w:r>
        <w:rPr>
          <w:color w:val="231F20"/>
        </w:rPr>
        <w:t>Nacional</w:t>
      </w:r>
      <w:r>
        <w:rPr>
          <w:color w:val="231F20"/>
          <w:spacing w:val="-9"/>
        </w:rPr>
        <w:t> </w:t>
      </w:r>
      <w:r>
        <w:rPr>
          <w:color w:val="231F20"/>
        </w:rPr>
        <w:t>de</w:t>
      </w:r>
      <w:r>
        <w:rPr>
          <w:color w:val="231F20"/>
          <w:spacing w:val="-9"/>
        </w:rPr>
        <w:t> </w:t>
      </w:r>
      <w:r>
        <w:rPr>
          <w:color w:val="231F20"/>
        </w:rPr>
        <w:t>la</w:t>
      </w:r>
      <w:r>
        <w:rPr>
          <w:color w:val="231F20"/>
          <w:spacing w:val="-8"/>
        </w:rPr>
        <w:t> </w:t>
      </w:r>
      <w:r>
        <w:rPr>
          <w:color w:val="231F20"/>
        </w:rPr>
        <w:t>Salud del Escolar. </w:t>
      </w:r>
      <w:r>
        <w:rPr>
          <w:color w:val="231F20"/>
          <w:spacing w:val="-5"/>
        </w:rPr>
        <w:t>Rev. </w:t>
      </w:r>
      <w:r>
        <w:rPr>
          <w:color w:val="231F20"/>
        </w:rPr>
        <w:t>Latino-Am. Enfermagem [Internet]. 2015 Apr [cited 2018 Feb 01];  23(2):  275-282.  Available  from:</w:t>
      </w:r>
      <w:r>
        <w:rPr>
          <w:color w:val="231F20"/>
          <w:spacing w:val="50"/>
        </w:rPr>
        <w:t> </w:t>
      </w:r>
      <w:hyperlink r:id="rId28">
        <w:r>
          <w:rPr>
            <w:color w:val="231F20"/>
          </w:rPr>
          <w:t>http://www.scielo.br/scielo.php?script=sci_</w:t>
        </w:r>
      </w:hyperlink>
    </w:p>
    <w:p>
      <w:pPr>
        <w:pStyle w:val="BodyText"/>
        <w:tabs>
          <w:tab w:pos="6051" w:val="left" w:leader="none"/>
          <w:tab w:pos="8585" w:val="left" w:leader="none"/>
        </w:tabs>
        <w:spacing w:before="3"/>
        <w:ind w:left="514"/>
      </w:pPr>
      <w:r>
        <w:rPr>
          <w:color w:val="231F20"/>
        </w:rPr>
        <w:t>arttext&amp;pid=S0104-11692015000200013&amp;lng=en.</w:t>
        <w:tab/>
        <w:t>Epub  Apr</w:t>
      </w:r>
      <w:r>
        <w:rPr>
          <w:color w:val="231F20"/>
          <w:spacing w:val="54"/>
        </w:rPr>
        <w:t> </w:t>
      </w:r>
      <w:r>
        <w:rPr>
          <w:color w:val="231F20"/>
        </w:rPr>
        <w:t>14, </w:t>
      </w:r>
      <w:r>
        <w:rPr>
          <w:color w:val="231F20"/>
          <w:spacing w:val="1"/>
        </w:rPr>
        <w:t> </w:t>
      </w:r>
      <w:r>
        <w:rPr>
          <w:color w:val="231F20"/>
        </w:rPr>
        <w:t>2015.</w:t>
        <w:tab/>
        <w:t>http://</w:t>
      </w:r>
    </w:p>
    <w:p>
      <w:pPr>
        <w:pStyle w:val="BodyText"/>
        <w:spacing w:before="12"/>
        <w:ind w:left="514"/>
      </w:pPr>
      <w:r>
        <w:rPr>
          <w:color w:val="231F20"/>
        </w:rPr>
        <w:t>dx.doi.org/10.1590/0104-1169.0022.2552.</w:t>
      </w:r>
    </w:p>
    <w:p>
      <w:pPr>
        <w:pStyle w:val="ListParagraph"/>
        <w:numPr>
          <w:ilvl w:val="0"/>
          <w:numId w:val="1"/>
        </w:numPr>
        <w:tabs>
          <w:tab w:pos="515" w:val="left" w:leader="none"/>
        </w:tabs>
        <w:spacing w:line="249" w:lineRule="auto" w:before="125" w:after="0"/>
        <w:ind w:left="514" w:right="114" w:hanging="360"/>
        <w:jc w:val="both"/>
        <w:rPr>
          <w:sz w:val="24"/>
        </w:rPr>
      </w:pPr>
      <w:r>
        <w:rPr>
          <w:color w:val="231F20"/>
          <w:sz w:val="24"/>
        </w:rPr>
        <w:t>Abadio de Oliveira </w:t>
      </w:r>
      <w:r>
        <w:rPr>
          <w:color w:val="231F20"/>
          <w:spacing w:val="-7"/>
          <w:sz w:val="24"/>
        </w:rPr>
        <w:t>W, </w:t>
      </w:r>
      <w:r>
        <w:rPr>
          <w:color w:val="231F20"/>
          <w:sz w:val="24"/>
        </w:rPr>
        <w:t>Lossi Silva M, Malta de Mello </w:t>
      </w:r>
      <w:r>
        <w:rPr>
          <w:color w:val="231F20"/>
          <w:spacing w:val="-14"/>
          <w:sz w:val="24"/>
        </w:rPr>
        <w:t>F, </w:t>
      </w:r>
      <w:r>
        <w:rPr>
          <w:color w:val="231F20"/>
          <w:sz w:val="24"/>
        </w:rPr>
        <w:t>Lopes Porto D, Mariano </w:t>
      </w:r>
      <w:r>
        <w:rPr>
          <w:color w:val="231F20"/>
          <w:spacing w:val="-4"/>
          <w:sz w:val="24"/>
        </w:rPr>
        <w:t>Yoshinaga </w:t>
      </w:r>
      <w:r>
        <w:rPr>
          <w:color w:val="231F20"/>
          <w:sz w:val="24"/>
        </w:rPr>
        <w:t>A. </w:t>
      </w:r>
      <w:r>
        <w:rPr>
          <w:color w:val="231F20"/>
          <w:spacing w:val="-5"/>
          <w:sz w:val="24"/>
        </w:rPr>
        <w:t>Rev. </w:t>
      </w:r>
      <w:r>
        <w:rPr>
          <w:color w:val="231F20"/>
          <w:sz w:val="24"/>
        </w:rPr>
        <w:t>Latino-Am. Enfermagem. </w:t>
      </w:r>
      <w:r>
        <w:rPr>
          <w:color w:val="231F20"/>
          <w:spacing w:val="-4"/>
          <w:sz w:val="24"/>
        </w:rPr>
        <w:t>mar.-abr. </w:t>
      </w:r>
      <w:r>
        <w:rPr>
          <w:color w:val="231F20"/>
          <w:sz w:val="24"/>
        </w:rPr>
        <w:t>2015;23(2):1-8. Brasil. DOI: 10.1590/0104-1169.0022.2552. Disponible en</w:t>
      </w:r>
      <w:hyperlink r:id="rId29">
        <w:r>
          <w:rPr>
            <w:color w:val="231F20"/>
            <w:spacing w:val="-12"/>
            <w:sz w:val="24"/>
          </w:rPr>
          <w:t> </w:t>
        </w:r>
        <w:r>
          <w:rPr>
            <w:color w:val="231F20"/>
            <w:sz w:val="24"/>
          </w:rPr>
          <w:t>www.eerp.usp.br/rlae.</w:t>
        </w:r>
      </w:hyperlink>
    </w:p>
    <w:p>
      <w:pPr>
        <w:pStyle w:val="ListParagraph"/>
        <w:numPr>
          <w:ilvl w:val="0"/>
          <w:numId w:val="1"/>
        </w:numPr>
        <w:tabs>
          <w:tab w:pos="515" w:val="left" w:leader="none"/>
        </w:tabs>
        <w:spacing w:line="249" w:lineRule="auto" w:before="117" w:after="0"/>
        <w:ind w:left="514" w:right="114" w:hanging="360"/>
        <w:jc w:val="both"/>
        <w:rPr>
          <w:sz w:val="24"/>
        </w:rPr>
      </w:pPr>
      <w:r>
        <w:rPr>
          <w:color w:val="231F20"/>
          <w:sz w:val="24"/>
        </w:rPr>
        <w:t>González-Forteza Catalina, Hermosillo de la </w:t>
      </w:r>
      <w:r>
        <w:rPr>
          <w:color w:val="231F20"/>
          <w:spacing w:val="-6"/>
          <w:sz w:val="24"/>
        </w:rPr>
        <w:t>Torre </w:t>
      </w:r>
      <w:r>
        <w:rPr>
          <w:color w:val="231F20"/>
          <w:sz w:val="24"/>
        </w:rPr>
        <w:t>Alicia Edith, </w:t>
      </w:r>
      <w:r>
        <w:rPr>
          <w:color w:val="231F20"/>
          <w:spacing w:val="-3"/>
          <w:sz w:val="24"/>
        </w:rPr>
        <w:t>Vacio-Muro </w:t>
      </w:r>
      <w:r>
        <w:rPr>
          <w:color w:val="231F20"/>
          <w:sz w:val="24"/>
        </w:rPr>
        <w:t>María de los Ángeles, Peralta Robert, </w:t>
      </w:r>
      <w:r>
        <w:rPr>
          <w:color w:val="231F20"/>
          <w:spacing w:val="-3"/>
          <w:sz w:val="24"/>
        </w:rPr>
        <w:t>Wagner </w:t>
      </w:r>
      <w:r>
        <w:rPr>
          <w:color w:val="231F20"/>
          <w:sz w:val="24"/>
        </w:rPr>
        <w:t>Fernando A. Depresión en adolescentes. Un problema oculto para la salud pública y la práctica clínica. Bol. Med. Hosp. Infant.</w:t>
      </w:r>
      <w:r>
        <w:rPr>
          <w:color w:val="231F20"/>
          <w:spacing w:val="-13"/>
          <w:sz w:val="24"/>
        </w:rPr>
        <w:t> </w:t>
      </w:r>
      <w:r>
        <w:rPr>
          <w:color w:val="231F20"/>
          <w:sz w:val="24"/>
        </w:rPr>
        <w:t>Mex.</w:t>
      </w:r>
      <w:r>
        <w:rPr>
          <w:color w:val="231F20"/>
          <w:spacing w:val="42"/>
          <w:sz w:val="24"/>
        </w:rPr>
        <w:t> </w:t>
      </w:r>
      <w:r>
        <w:rPr>
          <w:color w:val="231F20"/>
          <w:sz w:val="24"/>
        </w:rPr>
        <w:t>[revista</w:t>
      </w:r>
      <w:r>
        <w:rPr>
          <w:color w:val="231F20"/>
          <w:spacing w:val="-12"/>
          <w:sz w:val="24"/>
        </w:rPr>
        <w:t> </w:t>
      </w:r>
      <w:r>
        <w:rPr>
          <w:color w:val="231F20"/>
          <w:sz w:val="24"/>
        </w:rPr>
        <w:t>en</w:t>
      </w:r>
      <w:r>
        <w:rPr>
          <w:color w:val="231F20"/>
          <w:spacing w:val="-13"/>
          <w:sz w:val="24"/>
        </w:rPr>
        <w:t> </w:t>
      </w:r>
      <w:r>
        <w:rPr>
          <w:color w:val="231F20"/>
          <w:sz w:val="24"/>
        </w:rPr>
        <w:t>la</w:t>
      </w:r>
      <w:r>
        <w:rPr>
          <w:color w:val="231F20"/>
          <w:spacing w:val="-13"/>
          <w:sz w:val="24"/>
        </w:rPr>
        <w:t> </w:t>
      </w:r>
      <w:r>
        <w:rPr>
          <w:color w:val="231F20"/>
          <w:sz w:val="24"/>
        </w:rPr>
        <w:t>Internet].</w:t>
      </w:r>
      <w:r>
        <w:rPr>
          <w:color w:val="231F20"/>
          <w:spacing w:val="-12"/>
          <w:sz w:val="24"/>
        </w:rPr>
        <w:t> </w:t>
      </w:r>
      <w:r>
        <w:rPr>
          <w:color w:val="231F20"/>
          <w:sz w:val="24"/>
        </w:rPr>
        <w:t>2015</w:t>
      </w:r>
      <w:r>
        <w:rPr>
          <w:color w:val="231F20"/>
          <w:spacing w:val="-26"/>
          <w:sz w:val="24"/>
        </w:rPr>
        <w:t> </w:t>
      </w:r>
      <w:r>
        <w:rPr>
          <w:color w:val="231F20"/>
          <w:sz w:val="24"/>
        </w:rPr>
        <w:t>Abr</w:t>
      </w:r>
      <w:r>
        <w:rPr>
          <w:color w:val="231F20"/>
          <w:spacing w:val="-12"/>
          <w:sz w:val="24"/>
        </w:rPr>
        <w:t> </w:t>
      </w:r>
      <w:r>
        <w:rPr>
          <w:color w:val="231F20"/>
          <w:sz w:val="24"/>
        </w:rPr>
        <w:t>[citado</w:t>
      </w:r>
      <w:r>
        <w:rPr>
          <w:color w:val="231F20"/>
          <w:spacing w:val="-13"/>
          <w:sz w:val="24"/>
        </w:rPr>
        <w:t> </w:t>
      </w:r>
      <w:r>
        <w:rPr>
          <w:color w:val="231F20"/>
          <w:sz w:val="24"/>
        </w:rPr>
        <w:t>2018</w:t>
      </w:r>
      <w:r>
        <w:rPr>
          <w:color w:val="231F20"/>
          <w:spacing w:val="-13"/>
          <w:sz w:val="24"/>
        </w:rPr>
        <w:t> </w:t>
      </w:r>
      <w:r>
        <w:rPr>
          <w:color w:val="231F20"/>
          <w:sz w:val="24"/>
        </w:rPr>
        <w:t>Feb</w:t>
      </w:r>
      <w:r>
        <w:rPr>
          <w:color w:val="231F20"/>
          <w:spacing w:val="-12"/>
          <w:sz w:val="24"/>
        </w:rPr>
        <w:t> </w:t>
      </w:r>
      <w:r>
        <w:rPr>
          <w:color w:val="231F20"/>
          <w:sz w:val="24"/>
        </w:rPr>
        <w:t>01];</w:t>
      </w:r>
      <w:r>
        <w:rPr>
          <w:color w:val="231F20"/>
          <w:spacing w:val="-13"/>
          <w:sz w:val="24"/>
        </w:rPr>
        <w:t> </w:t>
      </w:r>
      <w:r>
        <w:rPr>
          <w:color w:val="231F20"/>
          <w:sz w:val="24"/>
        </w:rPr>
        <w:t>72(2):</w:t>
      </w:r>
      <w:r>
        <w:rPr>
          <w:color w:val="231F20"/>
          <w:spacing w:val="-13"/>
          <w:sz w:val="24"/>
        </w:rPr>
        <w:t> </w:t>
      </w:r>
      <w:r>
        <w:rPr>
          <w:color w:val="231F20"/>
          <w:sz w:val="24"/>
        </w:rPr>
        <w:t>149-155. Disponible en: </w:t>
      </w:r>
      <w:hyperlink r:id="rId30">
        <w:r>
          <w:rPr>
            <w:color w:val="231F20"/>
            <w:sz w:val="24"/>
          </w:rPr>
          <w:t>http://www.scielo.org.mx/scielo.php?script=sci_arttext&amp;pid=S1665-</w:t>
        </w:r>
      </w:hyperlink>
      <w:r>
        <w:rPr>
          <w:color w:val="231F20"/>
          <w:sz w:val="24"/>
        </w:rPr>
        <w:t> 11462015000200149&amp;lng=es.</w:t>
      </w:r>
      <w:r>
        <w:rPr>
          <w:color w:val="231F20"/>
          <w:spacing w:val="42"/>
          <w:sz w:val="24"/>
        </w:rPr>
        <w:t> </w:t>
      </w:r>
      <w:hyperlink r:id="rId31">
        <w:r>
          <w:rPr>
            <w:color w:val="231F20"/>
            <w:sz w:val="24"/>
          </w:rPr>
          <w:t>http://dx.doi.org/10.1016/j.bmhimx.2015.05.006.</w:t>
        </w:r>
      </w:hyperlink>
    </w:p>
    <w:p>
      <w:pPr>
        <w:pStyle w:val="ListParagraph"/>
        <w:numPr>
          <w:ilvl w:val="0"/>
          <w:numId w:val="1"/>
        </w:numPr>
        <w:tabs>
          <w:tab w:pos="515" w:val="left" w:leader="none"/>
        </w:tabs>
        <w:spacing w:line="249" w:lineRule="auto" w:before="119" w:after="0"/>
        <w:ind w:left="514" w:right="115" w:hanging="360"/>
        <w:jc w:val="both"/>
        <w:rPr>
          <w:sz w:val="24"/>
        </w:rPr>
      </w:pPr>
      <w:r>
        <w:rPr>
          <w:color w:val="231F20"/>
          <w:sz w:val="24"/>
        </w:rPr>
        <w:t>CEBALLOS-OSPINO,  Guillermo  Augusto  et  al.  Ideación  suicida,   depresión  y autoestima en adolescentes escolares de Santa Marta. Duazary: Revista Internacional de Ciencias de la Salud, [S.l.], </w:t>
      </w:r>
      <w:r>
        <w:rPr>
          <w:color w:val="231F20"/>
          <w:spacing w:val="-9"/>
          <w:sz w:val="24"/>
        </w:rPr>
        <w:t>v. </w:t>
      </w:r>
      <w:r>
        <w:rPr>
          <w:color w:val="231F20"/>
          <w:sz w:val="24"/>
        </w:rPr>
        <w:t>12, n. 1, p. 15 - 22, ene. 2015. ISSN 2389-783X. Disponible en: </w:t>
      </w:r>
      <w:hyperlink r:id="rId32">
        <w:r>
          <w:rPr>
            <w:color w:val="231F20"/>
            <w:sz w:val="24"/>
          </w:rPr>
          <w:t>&lt;http://revistas.unimagdalena.edu.co/index.</w:t>
        </w:r>
      </w:hyperlink>
      <w:r>
        <w:rPr>
          <w:color w:val="231F20"/>
          <w:sz w:val="24"/>
        </w:rPr>
        <w:t> php/duazary/article/view/1394&gt;. Fecha de acceso: 01 feb. 2018 doi: </w:t>
      </w:r>
      <w:hyperlink r:id="rId19">
        <w:r>
          <w:rPr>
            <w:color w:val="231F20"/>
            <w:sz w:val="24"/>
          </w:rPr>
          <w:t>http://dx.doi.</w:t>
        </w:r>
      </w:hyperlink>
      <w:r>
        <w:rPr>
          <w:color w:val="231F20"/>
          <w:sz w:val="24"/>
        </w:rPr>
        <w:t> org/10.21676/2389783X.1394.</w:t>
      </w:r>
    </w:p>
    <w:sectPr>
      <w:pgSz w:w="11910" w:h="16840"/>
      <w:pgMar w:header="581" w:footer="1333" w:top="124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251949056" coordorigin="0,15225" coordsize="11906,567">
          <v:shape style="position:absolute;left:0;top:15261;width:11906;height:529" coordorigin="0,15262" coordsize="11906,529" path="m6326,15262l0,15262,0,15790,6326,15790,6326,15262m11906,15262l6376,15262,6376,15790,11906,15790,11906,15262e" filled="true" fillcolor="#d51920" stroked="false">
            <v:path arrowok="t"/>
            <v:fill type="solid"/>
          </v:shape>
          <v:line style="position:absolute" from="6196,15524" to="9794,15524" stroked="true" strokeweight="2.003pt" strokecolor="#ffffff">
            <v:stroke dashstyle="solid"/>
          </v:line>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1.226898pt;margin-top:768.01709pt;width:17.350pt;height:15.9pt;mso-position-horizontal-relative:page;mso-position-vertical-relative:page;z-index:-251948032" type="#_x0000_t202" filled="false" stroked="false">
          <v:textbox inset="0,0,0,0">
            <w:txbxContent>
              <w:p>
                <w:pPr>
                  <w:pStyle w:val="BodyText"/>
                  <w:spacing w:before="18"/>
                  <w:ind w:left="40"/>
                </w:pPr>
                <w:r>
                  <w:rPr/>
                  <w:fldChar w:fldCharType="begin"/>
                </w:r>
                <w:r>
                  <w:rPr>
                    <w:color w:val="FFFFFF"/>
                  </w:rPr>
                  <w:instrText> PAGE </w:instrText>
                </w:r>
                <w:r>
                  <w:rPr/>
                  <w:fldChar w:fldCharType="separate"/>
                </w:r>
                <w:r>
                  <w:rPr/>
                  <w:t>39</w:t>
                </w:r>
                <w:r>
                  <w:rPr/>
                  <w:fldChar w:fldCharType="end"/>
                </w:r>
              </w:p>
            </w:txbxContent>
          </v:textbox>
          <w10:wrap type="none"/>
        </v:shape>
      </w:pict>
    </w:r>
    <w:r>
      <w:rPr/>
      <w:pict>
        <v:shape style="position:absolute;margin-left:326.873993pt;margin-top:776.792542pt;width:156.15pt;height:12.45pt;mso-position-horizontal-relative:page;mso-position-vertical-relative:page;z-index:-251947008"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251943936" coordorigin="0,15225" coordsize="11906,566">
          <v:shape style="position:absolute;left:0;top:15261;width:11906;height:529" coordorigin="0,15262" coordsize="11906,529" path="m6341,15262l0,15262,0,15790,6341,15790,6341,15262m11906,15262l6391,15262,6391,15790,11906,15790,11906,15262e" filled="true" fillcolor="#d51920" stroked="false">
            <v:path arrowok="t"/>
            <v:fill type="solid"/>
          </v:shape>
          <v:line style="position:absolute" from="6211,15524" to="9809,15524" stroked="true" strokeweight="2.003pt" strokecolor="#ffffff">
            <v:stroke dashstyle="solid"/>
          </v:line>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251942912"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7487pt;margin-top:762.499634pt;width:56.95pt;height:11.85pt;mso-position-horizontal-relative:page;mso-position-vertical-relative:page;z-index:-251941888" type="#_x0000_t202" filled="false" stroked="false">
          <v:textbox inset="0,0,0,0">
            <w:txbxContent>
              <w:p>
                <w:pPr>
                  <w:spacing w:before="19"/>
                  <w:ind w:left="20" w:right="0" w:firstLine="0"/>
                  <w:jc w:val="left"/>
                  <w:rPr>
                    <w:sz w:val="17"/>
                  </w:rPr>
                </w:pPr>
                <w:r>
                  <w:rPr>
                    <w:color w:val="FFFFFF"/>
                    <w:sz w:val="17"/>
                  </w:rPr>
                  <w:t>Página 39 - 48</w:t>
                </w:r>
              </w:p>
            </w:txbxContent>
          </v:textbox>
          <w10:wrap type="none"/>
        </v:shape>
      </w:pict>
    </w:r>
    <w:r>
      <w:rPr/>
      <w:pict>
        <v:shape style="position:absolute;margin-left:501.226898pt;margin-top:768.01709pt;width:18.3pt;height:15.9pt;mso-position-horizontal-relative:page;mso-position-vertical-relative:page;z-index:-251940864" type="#_x0000_t202" filled="false" stroked="false">
          <v:textbox inset="0,0,0,0">
            <w:txbxContent>
              <w:p>
                <w:pPr>
                  <w:pStyle w:val="BodyText"/>
                  <w:spacing w:before="18"/>
                  <w:ind w:left="58"/>
                </w:pPr>
                <w:r>
                  <w:rPr/>
                  <w:fldChar w:fldCharType="begin"/>
                </w:r>
                <w:r>
                  <w:rPr>
                    <w:color w:val="FFFFFF"/>
                  </w:rPr>
                  <w:instrText> PAGE </w:instrText>
                </w:r>
                <w:r>
                  <w:rPr/>
                  <w:fldChar w:fldCharType="separate"/>
                </w:r>
                <w:r>
                  <w:rPr/>
                  <w:t>40</w:t>
                </w:r>
                <w:r>
                  <w:rPr/>
                  <w:fldChar w:fldCharType="end"/>
                </w:r>
              </w:p>
            </w:txbxContent>
          </v:textbox>
          <w10:wrap type="none"/>
        </v:shape>
      </w:pict>
    </w:r>
    <w:r>
      <w:rPr/>
      <w:pict>
        <v:shape style="position:absolute;margin-left:327.639587pt;margin-top:776.792542pt;width:156.15pt;height:12.45pt;mso-position-horizontal-relative:page;mso-position-vertical-relative:page;z-index:-251939840"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251945984" coordorigin="0,581" coordsize="11906,667">
          <v:rect style="position:absolute;left:0;top:581;width:11906;height:667" filled="true" fillcolor="#d51920" stroked="false">
            <v:fill type="solid"/>
          </v:rect>
          <v:line style="position:absolute" from="1417,934" to="10488,934" stroked="true" strokeweight="2.003pt" strokecolor="#ffffff">
            <v:stroke dashstyle="solid"/>
          </v:line>
          <w10:wrap type="none"/>
        </v:group>
      </w:pict>
    </w:r>
    <w:r>
      <w:rPr/>
      <w:pict>
        <v:shape style="position:absolute;margin-left:69.866096pt;margin-top:33.542316pt;width:432.65pt;height:26.15pt;mso-position-horizontal-relative:page;mso-position-vertical-relative:page;z-index:-251944960" type="#_x0000_t202" filled="false" stroked="false">
          <v:textbox inset="0,0,0,0">
            <w:txbxContent>
              <w:p>
                <w:pPr>
                  <w:spacing w:before="19"/>
                  <w:ind w:left="20" w:right="0" w:firstLine="0"/>
                  <w:jc w:val="left"/>
                  <w:rPr>
                    <w:sz w:val="16"/>
                  </w:rPr>
                </w:pPr>
                <w:r>
                  <w:rPr>
                    <w:color w:val="FFFFFF"/>
                    <w:sz w:val="16"/>
                  </w:rPr>
                  <w:t>TAMIZAJE CONDUCTUAL EN ADOLESCENTES TEMPRANOS, IBARRA 2017</w:t>
                </w:r>
              </w:p>
              <w:p>
                <w:pPr>
                  <w:spacing w:before="113"/>
                  <w:ind w:left="20" w:right="0" w:firstLine="0"/>
                  <w:jc w:val="left"/>
                  <w:rPr>
                    <w:sz w:val="16"/>
                  </w:rPr>
                </w:pPr>
                <w:r>
                  <w:rPr>
                    <w:color w:val="FFFFFF"/>
                    <w:sz w:val="16"/>
                  </w:rPr>
                  <w:t>Báez-Morales</w:t>
                </w:r>
                <w:r>
                  <w:rPr>
                    <w:color w:val="FFFFFF"/>
                    <w:spacing w:val="-13"/>
                    <w:sz w:val="16"/>
                  </w:rPr>
                  <w:t> </w:t>
                </w:r>
                <w:r>
                  <w:rPr>
                    <w:color w:val="FFFFFF"/>
                    <w:sz w:val="16"/>
                  </w:rPr>
                  <w:t>Widmark,</w:t>
                </w:r>
                <w:r>
                  <w:rPr>
                    <w:color w:val="FFFFFF"/>
                    <w:spacing w:val="-5"/>
                    <w:sz w:val="16"/>
                  </w:rPr>
                  <w:t> </w:t>
                </w:r>
                <w:r>
                  <w:rPr>
                    <w:color w:val="FFFFFF"/>
                    <w:spacing w:val="-3"/>
                    <w:sz w:val="16"/>
                  </w:rPr>
                  <w:t>Rojas-Torres</w:t>
                </w:r>
                <w:r>
                  <w:rPr>
                    <w:color w:val="FFFFFF"/>
                    <w:spacing w:val="-13"/>
                    <w:sz w:val="16"/>
                  </w:rPr>
                  <w:t> </w:t>
                </w:r>
                <w:r>
                  <w:rPr>
                    <w:color w:val="FFFFFF"/>
                    <w:sz w:val="16"/>
                  </w:rPr>
                  <w:t>Arian,</w:t>
                </w:r>
                <w:r>
                  <w:rPr>
                    <w:color w:val="FFFFFF"/>
                    <w:spacing w:val="-6"/>
                    <w:sz w:val="16"/>
                  </w:rPr>
                  <w:t> </w:t>
                </w:r>
                <w:r>
                  <w:rPr>
                    <w:color w:val="FFFFFF"/>
                    <w:sz w:val="16"/>
                  </w:rPr>
                  <w:t>Navarrete-Enríquez</w:t>
                </w:r>
                <w:r>
                  <w:rPr>
                    <w:color w:val="FFFFFF"/>
                    <w:spacing w:val="-6"/>
                    <w:sz w:val="16"/>
                  </w:rPr>
                  <w:t> </w:t>
                </w:r>
                <w:r>
                  <w:rPr>
                    <w:color w:val="FFFFFF"/>
                    <w:sz w:val="16"/>
                  </w:rPr>
                  <w:t>Roxanne,</w:t>
                </w:r>
                <w:r>
                  <w:rPr>
                    <w:color w:val="FFFFFF"/>
                    <w:spacing w:val="-6"/>
                    <w:sz w:val="16"/>
                  </w:rPr>
                  <w:t> </w:t>
                </w:r>
                <w:r>
                  <w:rPr>
                    <w:color w:val="FFFFFF"/>
                    <w:sz w:val="16"/>
                  </w:rPr>
                  <w:t>Palacios-Narváez</w:t>
                </w:r>
                <w:r>
                  <w:rPr>
                    <w:color w:val="FFFFFF"/>
                    <w:spacing w:val="-6"/>
                    <w:sz w:val="16"/>
                  </w:rPr>
                  <w:t> </w:t>
                </w:r>
                <w:r>
                  <w:rPr>
                    <w:color w:val="FFFFFF"/>
                    <w:sz w:val="16"/>
                  </w:rPr>
                  <w:t>Nikolás,</w:t>
                </w:r>
                <w:r>
                  <w:rPr>
                    <w:color w:val="FFFFFF"/>
                    <w:spacing w:val="-6"/>
                    <w:sz w:val="16"/>
                  </w:rPr>
                  <w:t> </w:t>
                </w:r>
                <w:r>
                  <w:rPr>
                    <w:color w:val="FFFFFF"/>
                    <w:sz w:val="16"/>
                  </w:rPr>
                  <w:t>Mafla-Vallejo</w:t>
                </w:r>
                <w:r>
                  <w:rPr>
                    <w:color w:val="FFFFFF"/>
                    <w:spacing w:val="-6"/>
                    <w:sz w:val="16"/>
                  </w:rPr>
                  <w:t> </w:t>
                </w:r>
                <w:r>
                  <w:rPr>
                    <w:color w:val="FFFFFF"/>
                    <w:sz w:val="16"/>
                  </w:rPr>
                  <w:t>Miguel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4" w:hanging="360"/>
        <w:jc w:val="left"/>
      </w:pPr>
      <w:rPr>
        <w:rFonts w:hint="default" w:ascii="Arial" w:hAnsi="Arial" w:eastAsia="Arial" w:cs="Arial"/>
        <w:color w:val="231F20"/>
        <w:spacing w:val="-31"/>
        <w:w w:val="100"/>
        <w:sz w:val="24"/>
        <w:szCs w:val="24"/>
        <w:lang w:val="es-ES" w:eastAsia="es-ES" w:bidi="es-ES"/>
      </w:rPr>
    </w:lvl>
    <w:lvl w:ilvl="1">
      <w:start w:val="0"/>
      <w:numFmt w:val="bullet"/>
      <w:lvlText w:val="•"/>
      <w:lvlJc w:val="left"/>
      <w:pPr>
        <w:ind w:left="1398" w:hanging="360"/>
      </w:pPr>
      <w:rPr>
        <w:rFonts w:hint="default"/>
        <w:lang w:val="es-ES" w:eastAsia="es-ES" w:bidi="es-ES"/>
      </w:rPr>
    </w:lvl>
    <w:lvl w:ilvl="2">
      <w:start w:val="0"/>
      <w:numFmt w:val="bullet"/>
      <w:lvlText w:val="•"/>
      <w:lvlJc w:val="left"/>
      <w:pPr>
        <w:ind w:left="2277" w:hanging="360"/>
      </w:pPr>
      <w:rPr>
        <w:rFonts w:hint="default"/>
        <w:lang w:val="es-ES" w:eastAsia="es-ES" w:bidi="es-ES"/>
      </w:rPr>
    </w:lvl>
    <w:lvl w:ilvl="3">
      <w:start w:val="0"/>
      <w:numFmt w:val="bullet"/>
      <w:lvlText w:val="•"/>
      <w:lvlJc w:val="left"/>
      <w:pPr>
        <w:ind w:left="3155" w:hanging="360"/>
      </w:pPr>
      <w:rPr>
        <w:rFonts w:hint="default"/>
        <w:lang w:val="es-ES" w:eastAsia="es-ES" w:bidi="es-ES"/>
      </w:rPr>
    </w:lvl>
    <w:lvl w:ilvl="4">
      <w:start w:val="0"/>
      <w:numFmt w:val="bullet"/>
      <w:lvlText w:val="•"/>
      <w:lvlJc w:val="left"/>
      <w:pPr>
        <w:ind w:left="4034" w:hanging="360"/>
      </w:pPr>
      <w:rPr>
        <w:rFonts w:hint="default"/>
        <w:lang w:val="es-ES" w:eastAsia="es-ES" w:bidi="es-ES"/>
      </w:rPr>
    </w:lvl>
    <w:lvl w:ilvl="5">
      <w:start w:val="0"/>
      <w:numFmt w:val="bullet"/>
      <w:lvlText w:val="•"/>
      <w:lvlJc w:val="left"/>
      <w:pPr>
        <w:ind w:left="4912" w:hanging="360"/>
      </w:pPr>
      <w:rPr>
        <w:rFonts w:hint="default"/>
        <w:lang w:val="es-ES" w:eastAsia="es-ES" w:bidi="es-ES"/>
      </w:rPr>
    </w:lvl>
    <w:lvl w:ilvl="6">
      <w:start w:val="0"/>
      <w:numFmt w:val="bullet"/>
      <w:lvlText w:val="•"/>
      <w:lvlJc w:val="left"/>
      <w:pPr>
        <w:ind w:left="5791" w:hanging="360"/>
      </w:pPr>
      <w:rPr>
        <w:rFonts w:hint="default"/>
        <w:lang w:val="es-ES" w:eastAsia="es-ES" w:bidi="es-ES"/>
      </w:rPr>
    </w:lvl>
    <w:lvl w:ilvl="7">
      <w:start w:val="0"/>
      <w:numFmt w:val="bullet"/>
      <w:lvlText w:val="•"/>
      <w:lvlJc w:val="left"/>
      <w:pPr>
        <w:ind w:left="6669" w:hanging="360"/>
      </w:pPr>
      <w:rPr>
        <w:rFonts w:hint="default"/>
        <w:lang w:val="es-ES" w:eastAsia="es-ES" w:bidi="es-ES"/>
      </w:rPr>
    </w:lvl>
    <w:lvl w:ilvl="8">
      <w:start w:val="0"/>
      <w:numFmt w:val="bullet"/>
      <w:lvlText w:val="•"/>
      <w:lvlJc w:val="left"/>
      <w:pPr>
        <w:ind w:left="7548"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outlineLvl w:val="1"/>
    </w:pPr>
    <w:rPr>
      <w:rFonts w:ascii="Arial" w:hAnsi="Arial" w:eastAsia="Arial" w:cs="Arial"/>
      <w:b/>
      <w:bCs/>
      <w:sz w:val="28"/>
      <w:szCs w:val="28"/>
      <w:lang w:val="es-ES" w:eastAsia="es-ES" w:bidi="es-ES"/>
    </w:rPr>
  </w:style>
  <w:style w:styleId="Heading2" w:type="paragraph">
    <w:name w:val="Heading 2"/>
    <w:basedOn w:val="Normal"/>
    <w:uiPriority w:val="1"/>
    <w:qFormat/>
    <w:pPr>
      <w:ind w:right="115"/>
      <w:jc w:val="right"/>
      <w:outlineLvl w:val="2"/>
    </w:pPr>
    <w:rPr>
      <w:rFonts w:ascii="Arial" w:hAnsi="Arial" w:eastAsia="Arial" w:cs="Arial"/>
      <w:b/>
      <w:bCs/>
      <w:sz w:val="26"/>
      <w:szCs w:val="26"/>
      <w:lang w:val="es-ES" w:eastAsia="es-ES" w:bidi="es-ES"/>
    </w:rPr>
  </w:style>
  <w:style w:styleId="Heading3" w:type="paragraph">
    <w:name w:val="Heading 3"/>
    <w:basedOn w:val="Normal"/>
    <w:uiPriority w:val="1"/>
    <w:qFormat/>
    <w:pPr>
      <w:spacing w:before="12"/>
      <w:ind w:left="183" w:right="183"/>
      <w:jc w:val="center"/>
      <w:outlineLvl w:val="3"/>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16"/>
      <w:ind w:left="514" w:right="114"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webaez@utn.edu.ec" TargetMode="External"/><Relationship Id="rId9" Type="http://schemas.openxmlformats.org/officeDocument/2006/relationships/hyperlink" Target="mailto:afrojas@utn.edu.ec" TargetMode="External"/><Relationship Id="rId10" Type="http://schemas.openxmlformats.org/officeDocument/2006/relationships/hyperlink" Target="mailto:rmnavarrete@utn.edu.ec" TargetMode="External"/><Relationship Id="rId11" Type="http://schemas.openxmlformats.org/officeDocument/2006/relationships/hyperlink" Target="mailto:njpalacios@utn.edu.ec" TargetMode="External"/><Relationship Id="rId12" Type="http://schemas.openxmlformats.org/officeDocument/2006/relationships/hyperlink" Target="mailto:mdmafla@utn.edu.ec" TargetMode="Externa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hyperlink" Target="http://salud.gob.ec/" TargetMode="External"/><Relationship Id="rId19" Type="http://schemas.openxmlformats.org/officeDocument/2006/relationships/hyperlink" Target="http://dx.doi/" TargetMode="External"/><Relationship Id="rId20" Type="http://schemas.openxmlformats.org/officeDocument/2006/relationships/hyperlink" Target="http://dx.doi.org/10.4067/" TargetMode="External"/><Relationship Id="rId21" Type="http://schemas.openxmlformats.org/officeDocument/2006/relationships/hyperlink" Target="http://www.scielo.org.ar/scielo.php?script=sci_" TargetMode="External"/><Relationship Id="rId22" Type="http://schemas.openxmlformats.org/officeDocument/2006/relationships/hyperlink" Target="http://dx.doi.org/10.5546/" TargetMode="External"/><Relationship Id="rId23" Type="http://schemas.openxmlformats.org/officeDocument/2006/relationships/hyperlink" Target="http://www.unicef.org/ecuador/children_28772.html" TargetMode="External"/><Relationship Id="rId24" Type="http://schemas.openxmlformats.org/officeDocument/2006/relationships/hyperlink" Target="http://www.unicef.org/ecuador/" TargetMode="External"/><Relationship Id="rId25" Type="http://schemas.openxmlformats.org/officeDocument/2006/relationships/hyperlink" Target="http://scielo.isciii.es/scielo.php?script=sci_arttext&amp;amp;pid=S0212-" TargetMode="External"/><Relationship Id="rId26" Type="http://schemas.openxmlformats.org/officeDocument/2006/relationships/hyperlink" Target="http://dx.doi.org/10.6018/analesps.31.3.183491" TargetMode="External"/><Relationship Id="rId27" Type="http://schemas.openxmlformats.org/officeDocument/2006/relationships/hyperlink" Target="http://www.tcasevilla.com/archivos/" TargetMode="External"/><Relationship Id="rId28" Type="http://schemas.openxmlformats.org/officeDocument/2006/relationships/hyperlink" Target="http://www.scielo.br/scielo.php?script=sci_" TargetMode="External"/><Relationship Id="rId29" Type="http://schemas.openxmlformats.org/officeDocument/2006/relationships/hyperlink" Target="http://www.eerp.usp.br/rlae" TargetMode="External"/><Relationship Id="rId30" Type="http://schemas.openxmlformats.org/officeDocument/2006/relationships/hyperlink" Target="http://www.scielo.org.mx/scielo.php?script=sci_arttext&amp;amp;pid=S1665-" TargetMode="External"/><Relationship Id="rId31" Type="http://schemas.openxmlformats.org/officeDocument/2006/relationships/hyperlink" Target="http://dx.doi.org/10.1016/j.bmhimx.2015.05.006" TargetMode="External"/><Relationship Id="rId32" Type="http://schemas.openxmlformats.org/officeDocument/2006/relationships/hyperlink" Target="http://revistas.unimagdalena.edu.co/index"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2021-02-09T21:27:38Z</dcterms:created>
  <dcterms:modified xsi:type="dcterms:W3CDTF">2021-02-09T21:27:38Z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